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C147" w14:textId="77777777" w:rsidR="00990FA9" w:rsidRDefault="00990FA9" w:rsidP="00932A32">
      <w:pPr>
        <w:pStyle w:val="Heading1"/>
      </w:pPr>
    </w:p>
    <w:p w14:paraId="495E9F13" w14:textId="28791FE8" w:rsidR="00932A32" w:rsidRDefault="00932A32" w:rsidP="00932A32">
      <w:pPr>
        <w:pStyle w:val="Heading1"/>
      </w:pPr>
      <w:r w:rsidRPr="00932A32">
        <w:t>Protocol 2</w:t>
      </w:r>
      <w:r w:rsidR="00703AB1">
        <w:t>05</w:t>
      </w:r>
      <w:r w:rsidRPr="00932A32">
        <w:t xml:space="preserve">: </w:t>
      </w:r>
      <w:r w:rsidR="00703AB1">
        <w:t>Non-target disease protocol</w:t>
      </w:r>
    </w:p>
    <w:p w14:paraId="7101D6CB" w14:textId="5A2229BD" w:rsidR="00B55DB7" w:rsidRPr="00B55DB7" w:rsidRDefault="00B55DB7" w:rsidP="00C90931">
      <w:pPr>
        <w:pStyle w:val="Heading1"/>
      </w:pPr>
      <w:r w:rsidRPr="00B55DB7">
        <w:t>AHDB Recommended Lists (RL) for cereals and oilseeds: Non-target disease protocol.</w:t>
      </w:r>
    </w:p>
    <w:p w14:paraId="176267BC" w14:textId="6DA21FCB" w:rsidR="00910997" w:rsidRPr="00AB5719" w:rsidRDefault="00910997" w:rsidP="00F86FBC">
      <w:pPr>
        <w:pStyle w:val="Heading3"/>
        <w:rPr>
          <w:sz w:val="28"/>
          <w:szCs w:val="28"/>
        </w:rPr>
      </w:pPr>
      <w:r w:rsidRPr="00AB5719">
        <w:rPr>
          <w:sz w:val="28"/>
          <w:szCs w:val="28"/>
        </w:rPr>
        <w:t>(</w:t>
      </w:r>
      <w:r w:rsidR="00202D89">
        <w:rPr>
          <w:sz w:val="28"/>
          <w:szCs w:val="28"/>
        </w:rPr>
        <w:t>V</w:t>
      </w:r>
      <w:r w:rsidRPr="00AB5719">
        <w:rPr>
          <w:sz w:val="28"/>
          <w:szCs w:val="28"/>
        </w:rPr>
        <w:t>ersion Dec 2</w:t>
      </w:r>
      <w:r w:rsidR="00703AB1">
        <w:rPr>
          <w:sz w:val="28"/>
          <w:szCs w:val="28"/>
        </w:rPr>
        <w:t>025</w:t>
      </w:r>
      <w:r w:rsidRPr="00AB5719">
        <w:rPr>
          <w:sz w:val="28"/>
          <w:szCs w:val="28"/>
        </w:rPr>
        <w:t>.</w:t>
      </w:r>
      <w:r w:rsidR="00202D89">
        <w:rPr>
          <w:sz w:val="28"/>
          <w:szCs w:val="28"/>
        </w:rPr>
        <w:t>2, March 2026</w:t>
      </w:r>
      <w:r w:rsidRPr="00AB5719">
        <w:rPr>
          <w:sz w:val="28"/>
          <w:szCs w:val="28"/>
        </w:rPr>
        <w:t>)</w:t>
      </w:r>
    </w:p>
    <w:p w14:paraId="15EE903E" w14:textId="77777777" w:rsidR="00C90931" w:rsidRDefault="00C90931" w:rsidP="00C90931"/>
    <w:p w14:paraId="5281B97A" w14:textId="0CB85055" w:rsidR="00C90931" w:rsidRPr="00C90931" w:rsidRDefault="00C90931" w:rsidP="00C90931">
      <w:pPr>
        <w:jc w:val="both"/>
      </w:pPr>
      <w:r w:rsidRPr="00C90931">
        <w:t>This protocol was believed to comply with relevant agrochemical, environmental and other regulations at the time of writing but it is the responsibility of the contractor to ensure that it continues to comply. In the event of non-compliance, the protocol should not be followed but the Field Trials Manager should be notified at once of how the protocol requirements would breach regulations.</w:t>
      </w:r>
    </w:p>
    <w:p w14:paraId="55B570DC" w14:textId="77777777" w:rsidR="00C90931" w:rsidRPr="00C90931" w:rsidRDefault="00C90931" w:rsidP="00C90931">
      <w:pPr>
        <w:jc w:val="both"/>
      </w:pPr>
      <w:r w:rsidRPr="00C90931">
        <w:t>Any deviation from this protocol other than under the circumstances described above may result in a breach of contract and should be agreed in advance.</w:t>
      </w:r>
    </w:p>
    <w:p w14:paraId="2CB78536" w14:textId="77777777" w:rsidR="00C90931" w:rsidRPr="00C90931" w:rsidRDefault="00C90931" w:rsidP="00C90931">
      <w:pPr>
        <w:jc w:val="both"/>
      </w:pPr>
      <w:r w:rsidRPr="00C90931">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177E2191" w14:textId="77777777" w:rsidR="00C90931" w:rsidRPr="00C90931" w:rsidRDefault="00C90931" w:rsidP="00C90931">
      <w:pPr>
        <w:jc w:val="both"/>
      </w:pPr>
      <w:r w:rsidRPr="00C90931">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69DACC84" w14:textId="10D66A4A" w:rsidR="00910997" w:rsidRDefault="00C90931" w:rsidP="00910997">
      <w:r w:rsidRPr="00C90931">
        <w:t>AHDB Cereals &amp; Oilseeds is a part of the Agriculture and Horticulture Development Board (AHDB).</w:t>
      </w:r>
    </w:p>
    <w:p w14:paraId="18865434" w14:textId="77777777" w:rsidR="00A863D4" w:rsidRDefault="00A863D4" w:rsidP="00910997">
      <w:pPr>
        <w:pStyle w:val="Heading3"/>
      </w:pPr>
    </w:p>
    <w:p w14:paraId="16ED541D" w14:textId="77777777" w:rsidR="00A863D4" w:rsidRDefault="00A863D4" w:rsidP="00910997">
      <w:pPr>
        <w:pStyle w:val="Heading3"/>
      </w:pPr>
    </w:p>
    <w:p w14:paraId="5ED6ECEE" w14:textId="77777777" w:rsidR="00A863D4" w:rsidRDefault="00A863D4" w:rsidP="00910997">
      <w:pPr>
        <w:pStyle w:val="Heading3"/>
      </w:pPr>
    </w:p>
    <w:p w14:paraId="1B1DCA4C" w14:textId="77777777" w:rsidR="00A863D4" w:rsidRDefault="00A863D4" w:rsidP="00910997">
      <w:pPr>
        <w:pStyle w:val="Heading3"/>
      </w:pPr>
    </w:p>
    <w:p w14:paraId="44042BF9" w14:textId="77777777" w:rsidR="00A863D4" w:rsidRPr="00A863D4" w:rsidRDefault="00A863D4" w:rsidP="00A863D4">
      <w:pPr>
        <w:pStyle w:val="Heading3"/>
      </w:pPr>
      <w:r w:rsidRPr="00A863D4">
        <w:t>Introduction</w:t>
      </w:r>
    </w:p>
    <w:p w14:paraId="6F17D0C9" w14:textId="77777777" w:rsidR="00A863D4" w:rsidRPr="00A863D4" w:rsidRDefault="00A863D4" w:rsidP="00A863D4">
      <w:pPr>
        <w:jc w:val="both"/>
      </w:pPr>
      <w:r w:rsidRPr="00A863D4">
        <w:t xml:space="preserve">In 2017 a protocol for the control of non-target disease in untreated winter wheat DOP plots was put in place to ensure the levels of infection for the target pathogen could be accurately assessed and not be adversely affected by the presence of other infections. The RL protocols committee drafted the technical protocol.  </w:t>
      </w:r>
    </w:p>
    <w:p w14:paraId="7FB1AD58" w14:textId="77777777" w:rsidR="00A863D4" w:rsidRPr="00A863D4" w:rsidRDefault="00A863D4" w:rsidP="00A863D4">
      <w:pPr>
        <w:jc w:val="both"/>
      </w:pPr>
      <w:r w:rsidRPr="00A863D4">
        <w:t xml:space="preserve">This protocol is designed to prevent the situation where target disease observations are not able to be assessed due to the untreated plots being contaminated by a non-target disease, either in place of target infection or as well as (co-morbid). E.g., a trial planned for septoria observation is not able to be assessed due to a high level of yellow rust infection making identification of diseased leaf lesions impossible. </w:t>
      </w:r>
    </w:p>
    <w:p w14:paraId="5A609E2D" w14:textId="6C3E4B30" w:rsidR="00A863D4" w:rsidRPr="00A863D4" w:rsidRDefault="00A863D4" w:rsidP="00A863D4">
      <w:pPr>
        <w:jc w:val="both"/>
      </w:pPr>
      <w:r w:rsidRPr="00A863D4">
        <w:t>To prevent this, untreated plots will be treated with a fungicide programme to suppress non-target diseases, see below. This protocol should be used in conjunction with the main trial protocol for cereals ‘Protocol 001 - CER 22-26 AHDB RL Cereal trials.</w:t>
      </w:r>
    </w:p>
    <w:p w14:paraId="47A10E4C" w14:textId="77777777" w:rsidR="00A863D4" w:rsidRPr="00A863D4" w:rsidRDefault="00A863D4" w:rsidP="00A863D4">
      <w:pPr>
        <w:jc w:val="both"/>
      </w:pPr>
      <w:r w:rsidRPr="00A863D4">
        <w:t>In 2018 and 2019, this protocol covered the control of yellow rust only or septoria only, but it was found that the programme designed to control septoria only influenced the yellow rust. Therefore, only yellow rust will be controlled with the aim of getting good septoria data.</w:t>
      </w:r>
    </w:p>
    <w:p w14:paraId="35A9D237" w14:textId="77777777" w:rsidR="00A863D4" w:rsidRPr="00A863D4" w:rsidRDefault="00A863D4" w:rsidP="00A863D4">
      <w:pPr>
        <w:pStyle w:val="Heading3"/>
      </w:pPr>
      <w:r w:rsidRPr="00A863D4">
        <w:t>Fungicide regime</w:t>
      </w:r>
    </w:p>
    <w:p w14:paraId="4EF25023" w14:textId="77777777" w:rsidR="00A863D4" w:rsidRPr="00A863D4" w:rsidRDefault="00A863D4" w:rsidP="00A863D4">
      <w:pPr>
        <w:jc w:val="both"/>
        <w:rPr>
          <w:b/>
          <w:bCs/>
        </w:rPr>
      </w:pPr>
      <w:r w:rsidRPr="00A863D4">
        <w:rPr>
          <w:b/>
          <w:bCs/>
        </w:rPr>
        <w:t>Fungicide Protocol for control of non-target diseases in untreated wheat trials – 2026 (Updated December 2025)</w:t>
      </w:r>
    </w:p>
    <w:p w14:paraId="40F9257B" w14:textId="77777777" w:rsidR="00A863D4" w:rsidRPr="00A863D4" w:rsidRDefault="00A863D4" w:rsidP="00A863D4">
      <w:pPr>
        <w:jc w:val="both"/>
      </w:pPr>
      <w:r w:rsidRPr="00A863D4">
        <w:t>Recommendations by</w:t>
      </w:r>
    </w:p>
    <w:p w14:paraId="311FC690" w14:textId="77777777" w:rsidR="00A863D4" w:rsidRPr="00A863D4" w:rsidRDefault="00A863D4" w:rsidP="00A863D4">
      <w:pPr>
        <w:pStyle w:val="ListParagraph"/>
        <w:numPr>
          <w:ilvl w:val="0"/>
          <w:numId w:val="37"/>
        </w:numPr>
        <w:jc w:val="both"/>
      </w:pPr>
      <w:r w:rsidRPr="00A863D4">
        <w:t>Paul Gosling, BASIS registration number R\E\8107\IFM</w:t>
      </w:r>
    </w:p>
    <w:p w14:paraId="2B1144DA" w14:textId="77777777" w:rsidR="00A863D4" w:rsidRPr="00A863D4" w:rsidRDefault="00A863D4" w:rsidP="00A863D4">
      <w:pPr>
        <w:pStyle w:val="ListParagraph"/>
        <w:numPr>
          <w:ilvl w:val="0"/>
          <w:numId w:val="37"/>
        </w:numPr>
        <w:jc w:val="both"/>
      </w:pPr>
      <w:r w:rsidRPr="00A863D4">
        <w:t>Catherine Harries, BASIS registration number 20053636</w:t>
      </w:r>
    </w:p>
    <w:p w14:paraId="508B1E0F" w14:textId="77777777" w:rsidR="00A863D4" w:rsidRPr="00A863D4" w:rsidRDefault="00A863D4" w:rsidP="00A863D4">
      <w:pPr>
        <w:pStyle w:val="ListParagraph"/>
        <w:numPr>
          <w:ilvl w:val="0"/>
          <w:numId w:val="37"/>
        </w:numPr>
        <w:jc w:val="both"/>
      </w:pPr>
      <w:r w:rsidRPr="00A863D4">
        <w:t>RL Trials Co-ordinator Sean Burns 0773 639936</w:t>
      </w:r>
    </w:p>
    <w:p w14:paraId="535EB662" w14:textId="77777777" w:rsidR="00C11AB3" w:rsidRDefault="00A863D4" w:rsidP="00C11AB3">
      <w:pPr>
        <w:pStyle w:val="BodyText"/>
        <w:ind w:right="-296"/>
        <w:jc w:val="both"/>
        <w:rPr>
          <w:rFonts w:ascii="Arial" w:hAnsi="Arial" w:cs="Arial"/>
          <w:color w:val="5F5F5F"/>
          <w:kern w:val="0"/>
        </w:rPr>
      </w:pPr>
      <w:r w:rsidRPr="00A863D4">
        <w:rPr>
          <w:rFonts w:ascii="Arial" w:hAnsi="Arial" w:cs="Arial"/>
          <w:color w:val="5F5F5F"/>
          <w:kern w:val="0"/>
        </w:rPr>
        <w:t>This programme is for use on AHDB Recommended List untreated wheat trials (from autumn sowing 2024.</w:t>
      </w:r>
      <w:r>
        <w:rPr>
          <w:rFonts w:ascii="Arial" w:hAnsi="Arial" w:cs="Arial"/>
          <w:sz w:val="22"/>
          <w:szCs w:val="22"/>
        </w:rPr>
        <w:t xml:space="preserve"> </w:t>
      </w:r>
      <w:r w:rsidRPr="00A863D4">
        <w:rPr>
          <w:rFonts w:ascii="Arial" w:hAnsi="Arial" w:cs="Arial"/>
          <w:b/>
          <w:bCs/>
          <w:color w:val="5F5F5F"/>
          <w:kern w:val="0"/>
        </w:rPr>
        <w:t xml:space="preserve">It is an experimental protocol and is designed to meet the protocol aim of keeping non-target disease levels in untreated plots below 5% infection in all varieties. </w:t>
      </w:r>
      <w:r w:rsidRPr="00A863D4">
        <w:rPr>
          <w:rFonts w:ascii="Arial" w:hAnsi="Arial" w:cs="Arial"/>
          <w:color w:val="5F5F5F"/>
          <w:kern w:val="0"/>
        </w:rPr>
        <w:t xml:space="preserve">It is </w:t>
      </w:r>
      <w:r w:rsidRPr="00A863D4">
        <w:rPr>
          <w:rFonts w:ascii="Arial" w:hAnsi="Arial" w:cs="Arial"/>
          <w:color w:val="5F5F5F"/>
          <w:kern w:val="0"/>
          <w:u w:val="single"/>
        </w:rPr>
        <w:t>not</w:t>
      </w:r>
      <w:r w:rsidRPr="00A863D4">
        <w:rPr>
          <w:rFonts w:ascii="Arial" w:hAnsi="Arial" w:cs="Arial"/>
          <w:color w:val="5F5F5F"/>
          <w:kern w:val="0"/>
        </w:rPr>
        <w:t xml:space="preserve"> intended to follow commercial practice.</w:t>
      </w:r>
    </w:p>
    <w:p w14:paraId="1536B5DC" w14:textId="77777777" w:rsidR="00C11AB3" w:rsidRDefault="00A863D4" w:rsidP="00C11AB3">
      <w:pPr>
        <w:pStyle w:val="BodyText"/>
        <w:ind w:right="-296"/>
        <w:jc w:val="both"/>
        <w:rPr>
          <w:rFonts w:ascii="Arial" w:hAnsi="Arial" w:cs="Arial"/>
          <w:color w:val="5F5F5F"/>
          <w:kern w:val="0"/>
        </w:rPr>
      </w:pPr>
      <w:r w:rsidRPr="00C11AB3">
        <w:rPr>
          <w:rFonts w:ascii="Arial" w:hAnsi="Arial" w:cs="Arial"/>
          <w:color w:val="5F5F5F"/>
          <w:kern w:val="0"/>
        </w:rPr>
        <w:t>Please note that treatments are compulsory, and the rates and timings specified should be adhered to as closely as possible. The protocol is robust and, if applied correctly, should be effective: if, however, disease levels rise above 5% (e.g. if weather conditions do not allow optimal application), please contact RL Trials Co-Ordinator to discuss an appropriate course of action.</w:t>
      </w:r>
    </w:p>
    <w:p w14:paraId="1161A136" w14:textId="7BDAD552" w:rsidR="00A863D4" w:rsidRPr="00C11AB3" w:rsidRDefault="00A863D4" w:rsidP="00C11AB3">
      <w:pPr>
        <w:pStyle w:val="BodyText"/>
        <w:ind w:right="-296"/>
        <w:jc w:val="both"/>
        <w:rPr>
          <w:rFonts w:ascii="Arial" w:hAnsi="Arial" w:cs="Arial"/>
          <w:color w:val="5F5F5F"/>
          <w:kern w:val="0"/>
        </w:rPr>
      </w:pPr>
      <w:r w:rsidRPr="00C11AB3">
        <w:rPr>
          <w:rFonts w:ascii="Arial" w:hAnsi="Arial" w:cs="Arial"/>
          <w:color w:val="5F5F5F"/>
          <w:kern w:val="0"/>
        </w:rPr>
        <w:t>Fungicides should be applied at the stated dose rates unless agreed otherwise with the RL Trials Co-ordinator or VL Coordinator. Changes to dose rates will only be sanctioned in exceptional circumstances, such as drought-stressed trials under low disease pressure.</w:t>
      </w:r>
    </w:p>
    <w:p w14:paraId="69724817" w14:textId="0683FBB5" w:rsidR="00A863D4" w:rsidRPr="00C11AB3" w:rsidRDefault="00A863D4" w:rsidP="00C11AB3">
      <w:pPr>
        <w:jc w:val="both"/>
        <w:sectPr w:rsidR="00A863D4" w:rsidRPr="00C11AB3" w:rsidSect="00A863D4">
          <w:headerReference w:type="default" r:id="rId10"/>
          <w:footerReference w:type="default" r:id="rId11"/>
          <w:pgSz w:w="12240" w:h="15840"/>
          <w:pgMar w:top="1440" w:right="1440" w:bottom="1440" w:left="1440" w:header="720" w:footer="720" w:gutter="0"/>
          <w:cols w:space="720"/>
          <w:noEndnote/>
        </w:sectPr>
      </w:pPr>
      <w:r w:rsidRPr="00C11AB3">
        <w:t>Please contact the RL Trials Co-ordinator if you have any difficulty in sourcing a particular product</w:t>
      </w:r>
    </w:p>
    <w:p w14:paraId="3C4B8F4A" w14:textId="39613127" w:rsidR="007319F2" w:rsidRPr="007319F2" w:rsidRDefault="007319F2" w:rsidP="007319F2">
      <w:pPr>
        <w:pStyle w:val="BodyText"/>
        <w:ind w:right="-296"/>
        <w:jc w:val="both"/>
        <w:rPr>
          <w:rFonts w:ascii="Arial" w:hAnsi="Arial" w:cs="Arial"/>
          <w:color w:val="5F5F5F"/>
          <w:kern w:val="0"/>
        </w:rPr>
      </w:pPr>
      <w:r w:rsidRPr="007319F2">
        <w:rPr>
          <w:rFonts w:ascii="Arial" w:hAnsi="Arial" w:cs="Arial"/>
          <w:color w:val="5F5F5F"/>
          <w:kern w:val="0"/>
        </w:rPr>
        <w:t xml:space="preserve">In some cases, two or more products may be available from a company with the same active substances and formulation; if you wish to use such a product and it is not listed in this protocol, contact the RL Trials Co-ordinator or VL Coordinator. Generic products should be avoided as they may contain the same active substances but in a different formulation. </w:t>
      </w:r>
    </w:p>
    <w:p w14:paraId="538EE23B" w14:textId="39C4D2F0" w:rsidR="007319F2" w:rsidRDefault="007319F2" w:rsidP="007319F2">
      <w:pPr>
        <w:tabs>
          <w:tab w:val="left" w:pos="2535"/>
        </w:tabs>
        <w:rPr>
          <w:color w:val="auto"/>
          <w:sz w:val="24"/>
          <w:szCs w:val="24"/>
        </w:rPr>
      </w:pPr>
    </w:p>
    <w:p w14:paraId="60449264" w14:textId="2B89E653" w:rsidR="007319F2" w:rsidRPr="007319F2" w:rsidRDefault="007319F2" w:rsidP="007319F2">
      <w:pPr>
        <w:tabs>
          <w:tab w:val="left" w:pos="2535"/>
        </w:tabs>
        <w:rPr>
          <w:sz w:val="24"/>
          <w:szCs w:val="24"/>
        </w:rPr>
        <w:sectPr w:rsidR="007319F2" w:rsidRPr="007319F2" w:rsidSect="00A863D4">
          <w:type w:val="continuous"/>
          <w:pgSz w:w="12240" w:h="15840"/>
          <w:pgMar w:top="1440" w:right="1440" w:bottom="1440" w:left="1440" w:header="720" w:footer="720" w:gutter="0"/>
          <w:cols w:space="720"/>
          <w:noEndnote/>
        </w:sectPr>
      </w:pPr>
      <w:r>
        <w:rPr>
          <w:sz w:val="24"/>
          <w:szCs w:val="24"/>
        </w:rPr>
        <w:tab/>
      </w:r>
    </w:p>
    <w:p w14:paraId="13C6AEF9" w14:textId="77777777" w:rsidR="009D4044" w:rsidRPr="009D4044" w:rsidRDefault="009D4044" w:rsidP="009D4044">
      <w:pPr>
        <w:pStyle w:val="Heading3"/>
      </w:pPr>
      <w:r w:rsidRPr="009D4044">
        <w:lastRenderedPageBreak/>
        <w:t>Important</w:t>
      </w:r>
    </w:p>
    <w:p w14:paraId="48333DD4" w14:textId="346CC0AA" w:rsidR="009D4044" w:rsidRPr="009D4044" w:rsidRDefault="009D4044" w:rsidP="009D4044">
      <w:pPr>
        <w:pStyle w:val="BodyText"/>
        <w:ind w:right="-296"/>
        <w:jc w:val="both"/>
        <w:rPr>
          <w:rFonts w:ascii="Arial" w:hAnsi="Arial" w:cs="Arial"/>
          <w:color w:val="5F5F5F"/>
          <w:kern w:val="0"/>
        </w:rPr>
      </w:pPr>
      <w:r w:rsidRPr="009D4044">
        <w:rPr>
          <w:rFonts w:ascii="Arial" w:hAnsi="Arial" w:cs="Arial"/>
          <w:color w:val="5F5F5F"/>
          <w:kern w:val="0"/>
        </w:rPr>
        <w:t>Every care has been taken to ensure that all mixtures, rates, and timings are approved, meeting COS</w:t>
      </w:r>
      <w:r w:rsidR="002831FE">
        <w:rPr>
          <w:rFonts w:ascii="Arial" w:hAnsi="Arial" w:cs="Arial"/>
          <w:color w:val="5F5F5F"/>
          <w:kern w:val="0"/>
        </w:rPr>
        <w:t>H</w:t>
      </w:r>
      <w:r w:rsidRPr="009D4044">
        <w:rPr>
          <w:rFonts w:ascii="Arial" w:hAnsi="Arial" w:cs="Arial"/>
          <w:color w:val="5F5F5F"/>
          <w:kern w:val="0"/>
        </w:rPr>
        <w:t>H regulations and manufacturer’s guidelines. However, it is the responsibility of the trial manager to ensure that they meet all current regulations at the time of application. The Trials Co-ordinator or NL Co-ordinator should be notified of any conflict between the protocol and current regulations.</w:t>
      </w:r>
    </w:p>
    <w:p w14:paraId="70D7D0C5" w14:textId="77777777" w:rsidR="009D4044" w:rsidRPr="009D4044" w:rsidRDefault="009D4044" w:rsidP="009D4044">
      <w:pPr>
        <w:pStyle w:val="BodyText"/>
        <w:ind w:right="-296"/>
        <w:jc w:val="both"/>
        <w:rPr>
          <w:rFonts w:ascii="Arial" w:hAnsi="Arial" w:cs="Arial"/>
          <w:color w:val="5F5F5F"/>
          <w:kern w:val="0"/>
        </w:rPr>
      </w:pPr>
      <w:r w:rsidRPr="009D4044">
        <w:rPr>
          <w:rFonts w:ascii="Arial" w:hAnsi="Arial" w:cs="Arial"/>
          <w:color w:val="5F5F5F"/>
          <w:kern w:val="0"/>
        </w:rPr>
        <w:t xml:space="preserve">In accordance with FRAC guidelines, only two applications of strobilurin fungicides and two SDHI fungicides are to be applied to any crop. </w:t>
      </w:r>
    </w:p>
    <w:p w14:paraId="4E483007" w14:textId="3ABBB4A2" w:rsidR="00A170C5" w:rsidRPr="009D4044" w:rsidRDefault="009D4044" w:rsidP="009D4044">
      <w:pPr>
        <w:pStyle w:val="BodyText"/>
        <w:ind w:right="-296"/>
        <w:jc w:val="both"/>
        <w:rPr>
          <w:rFonts w:ascii="Arial" w:hAnsi="Arial" w:cs="Arial"/>
          <w:color w:val="5F5F5F"/>
          <w:kern w:val="0"/>
        </w:rPr>
      </w:pPr>
      <w:r w:rsidRPr="009D4044">
        <w:rPr>
          <w:rFonts w:ascii="Arial" w:hAnsi="Arial" w:cs="Arial"/>
          <w:color w:val="5F5F5F"/>
          <w:kern w:val="0"/>
        </w:rPr>
        <w:t>When you are applying optional treatments make sure you adhere to Product Labels regarding maximum total dose and maximum number of treatments.</w:t>
      </w:r>
    </w:p>
    <w:p w14:paraId="3B1A3A80" w14:textId="77777777" w:rsidR="00A170C5" w:rsidRPr="00A170C5" w:rsidRDefault="00A170C5" w:rsidP="00A170C5">
      <w:pPr>
        <w:pStyle w:val="Heading3"/>
      </w:pPr>
      <w:r w:rsidRPr="00A170C5">
        <w:t>Changes from previous version</w:t>
      </w:r>
    </w:p>
    <w:p w14:paraId="0098D1BF" w14:textId="26769B21" w:rsidR="00A170C5" w:rsidRDefault="0005468D" w:rsidP="0005468D">
      <w:pPr>
        <w:ind w:left="-567" w:firstLine="567"/>
        <w:rPr>
          <w:b/>
          <w:bCs/>
        </w:rPr>
      </w:pPr>
      <w:r>
        <w:rPr>
          <w:b/>
          <w:bCs/>
        </w:rPr>
        <w:t xml:space="preserve">No changes made to products, rate or timings for 2026. </w:t>
      </w:r>
    </w:p>
    <w:p w14:paraId="6C445D67" w14:textId="7B566DDF" w:rsidR="00911953" w:rsidRPr="00911953" w:rsidRDefault="00911953" w:rsidP="00911953">
      <w:r w:rsidRPr="00911953">
        <w:t>This version (2025.2) serves as an update to 2025.1, utilising a more accessible format.</w:t>
      </w:r>
    </w:p>
    <w:p w14:paraId="77CCC8BB" w14:textId="0DDB220B" w:rsidR="00911953" w:rsidRPr="00911953" w:rsidRDefault="00911953" w:rsidP="00911953"/>
    <w:p w14:paraId="346A129C" w14:textId="0BEB693B" w:rsidR="009C3B8B" w:rsidRDefault="00A170C5" w:rsidP="00A170C5">
      <w:pPr>
        <w:pStyle w:val="Heading3"/>
      </w:pPr>
      <w:r w:rsidRPr="00A170C5">
        <w:t>Winter wheat trials to control non-target disease, yellow rust &amp; brown rust in Septoria disease trials</w:t>
      </w:r>
    </w:p>
    <w:p w14:paraId="7E8EB6B5" w14:textId="0A24A431" w:rsidR="00A863D4" w:rsidRPr="00230073" w:rsidRDefault="00230073" w:rsidP="00230073">
      <w:pPr>
        <w:rPr>
          <w:b/>
          <w:bCs/>
        </w:rPr>
      </w:pPr>
      <w:r w:rsidRPr="003F551F">
        <w:rPr>
          <w:b/>
          <w:bCs/>
        </w:rPr>
        <w:t xml:space="preserve">Table </w:t>
      </w:r>
      <w:r w:rsidR="0005468D">
        <w:rPr>
          <w:b/>
          <w:bCs/>
        </w:rPr>
        <w:t>1</w:t>
      </w:r>
      <w:r w:rsidRPr="003F551F">
        <w:rPr>
          <w:b/>
          <w:bCs/>
        </w:rPr>
        <w:t>.</w:t>
      </w:r>
      <w:r>
        <w:rPr>
          <w:b/>
          <w:bCs/>
        </w:rPr>
        <w:t xml:space="preserve"> Summary of protocol to control non-target disease, yellow rust &amp; brown rust in Septoria disease trials </w:t>
      </w:r>
      <w:r w:rsidR="00990FA9">
        <w:rPr>
          <w:b/>
          <w:bCs/>
        </w:rPr>
        <w:t>(Pre-T0 through T3</w:t>
      </w:r>
      <w:r>
        <w:rPr>
          <w:b/>
          <w:bCs/>
        </w:rPr>
        <w:t>)</w:t>
      </w:r>
    </w:p>
    <w:tbl>
      <w:tblPr>
        <w:tblStyle w:val="TableGrid1"/>
        <w:tblW w:w="9968" w:type="dxa"/>
        <w:jc w:val="center"/>
        <w:tblLook w:val="04A0" w:firstRow="1" w:lastRow="0" w:firstColumn="1" w:lastColumn="0" w:noHBand="0" w:noVBand="1"/>
      </w:tblPr>
      <w:tblGrid>
        <w:gridCol w:w="1271"/>
        <w:gridCol w:w="1094"/>
        <w:gridCol w:w="2643"/>
        <w:gridCol w:w="2556"/>
        <w:gridCol w:w="2404"/>
      </w:tblGrid>
      <w:tr w:rsidR="00230073" w:rsidRPr="00462A2F" w14:paraId="1E8D1E6A" w14:textId="7EEA7C7E" w:rsidTr="0005468D">
        <w:trPr>
          <w:jc w:val="center"/>
        </w:trPr>
        <w:tc>
          <w:tcPr>
            <w:tcW w:w="1271" w:type="dxa"/>
            <w:shd w:val="clear" w:color="auto" w:fill="E9F4FC"/>
          </w:tcPr>
          <w:p w14:paraId="751BBC02" w14:textId="54673D74" w:rsidR="00230073" w:rsidRPr="00990FA9" w:rsidRDefault="00230073" w:rsidP="00E607A6">
            <w:pPr>
              <w:pStyle w:val="Tableheading"/>
            </w:pPr>
            <w:r w:rsidRPr="00990FA9">
              <w:t>Treatment timing</w:t>
            </w:r>
          </w:p>
        </w:tc>
        <w:tc>
          <w:tcPr>
            <w:tcW w:w="1094" w:type="dxa"/>
            <w:shd w:val="clear" w:color="auto" w:fill="E9F4FC"/>
          </w:tcPr>
          <w:p w14:paraId="44088273" w14:textId="0E93AA77" w:rsidR="00230073" w:rsidRPr="00990FA9" w:rsidRDefault="00230073" w:rsidP="00E607A6">
            <w:pPr>
              <w:pStyle w:val="Tableheading"/>
            </w:pPr>
            <w:r w:rsidRPr="00990FA9">
              <w:t xml:space="preserve">Growth stage (GS) </w:t>
            </w:r>
          </w:p>
        </w:tc>
        <w:tc>
          <w:tcPr>
            <w:tcW w:w="2643" w:type="dxa"/>
            <w:shd w:val="clear" w:color="auto" w:fill="E9F4FC"/>
          </w:tcPr>
          <w:p w14:paraId="445DBAD4" w14:textId="32F34FCC" w:rsidR="00230073" w:rsidRPr="00990FA9" w:rsidRDefault="00230073" w:rsidP="00E607A6">
            <w:pPr>
              <w:pStyle w:val="Tableheading"/>
            </w:pPr>
            <w:r w:rsidRPr="00990FA9">
              <w:t>Product / active ingredient</w:t>
            </w:r>
          </w:p>
        </w:tc>
        <w:tc>
          <w:tcPr>
            <w:tcW w:w="2556" w:type="dxa"/>
            <w:shd w:val="clear" w:color="auto" w:fill="E9F4FC"/>
          </w:tcPr>
          <w:p w14:paraId="15815B02" w14:textId="67A970D1" w:rsidR="00230073" w:rsidRPr="00990FA9" w:rsidRDefault="00230073" w:rsidP="00E607A6">
            <w:pPr>
              <w:pStyle w:val="Tableheading"/>
            </w:pPr>
            <w:r w:rsidRPr="00990FA9">
              <w:t>Rate</w:t>
            </w:r>
          </w:p>
        </w:tc>
        <w:tc>
          <w:tcPr>
            <w:tcW w:w="2404" w:type="dxa"/>
            <w:shd w:val="clear" w:color="auto" w:fill="E9F4FC"/>
          </w:tcPr>
          <w:p w14:paraId="04B6F6F9" w14:textId="6F115693" w:rsidR="00230073" w:rsidRPr="00990FA9" w:rsidRDefault="00230073" w:rsidP="00E607A6">
            <w:pPr>
              <w:pStyle w:val="Tableheading"/>
            </w:pPr>
            <w:r w:rsidRPr="00990FA9">
              <w:t>Notes</w:t>
            </w:r>
          </w:p>
        </w:tc>
      </w:tr>
      <w:tr w:rsidR="00230073" w:rsidRPr="00462A2F" w14:paraId="2E2063D1" w14:textId="7A2D520B" w:rsidTr="00230073">
        <w:trPr>
          <w:jc w:val="center"/>
        </w:trPr>
        <w:tc>
          <w:tcPr>
            <w:tcW w:w="1271" w:type="dxa"/>
          </w:tcPr>
          <w:p w14:paraId="2EE3E452" w14:textId="77777777" w:rsidR="00230073" w:rsidRPr="00990FA9" w:rsidRDefault="00230073" w:rsidP="009C3B8B">
            <w:pPr>
              <w:pStyle w:val="Table-Body-leftaligned"/>
              <w:keepLines/>
              <w:snapToGrid w:val="0"/>
              <w:rPr>
                <w:b/>
                <w:bCs/>
              </w:rPr>
            </w:pPr>
            <w:r w:rsidRPr="00990FA9">
              <w:rPr>
                <w:b/>
                <w:bCs/>
              </w:rPr>
              <w:t>Pre T0</w:t>
            </w:r>
          </w:p>
          <w:p w14:paraId="64A050FB" w14:textId="080B2700" w:rsidR="00230073" w:rsidRPr="00990FA9" w:rsidRDefault="00230073" w:rsidP="009C3B8B">
            <w:pPr>
              <w:pStyle w:val="Table-Body-leftaligned"/>
              <w:keepLines/>
              <w:snapToGrid w:val="0"/>
              <w:rPr>
                <w:b/>
                <w:bCs/>
              </w:rPr>
            </w:pPr>
            <w:r w:rsidRPr="00990FA9">
              <w:rPr>
                <w:b/>
                <w:bCs/>
              </w:rPr>
              <w:t xml:space="preserve"> (if required)</w:t>
            </w:r>
          </w:p>
        </w:tc>
        <w:tc>
          <w:tcPr>
            <w:tcW w:w="1094" w:type="dxa"/>
          </w:tcPr>
          <w:p w14:paraId="754FA045" w14:textId="4FAA5757" w:rsidR="00230073" w:rsidRPr="00990FA9" w:rsidRDefault="00230073" w:rsidP="009C3B8B">
            <w:pPr>
              <w:pStyle w:val="Table-Body-leftaligned"/>
              <w:keepLines/>
              <w:snapToGrid w:val="0"/>
              <w:rPr>
                <w:b/>
                <w:bCs/>
              </w:rPr>
            </w:pPr>
            <w:r w:rsidRPr="00990FA9">
              <w:rPr>
                <w:b/>
                <w:bCs/>
              </w:rPr>
              <w:t>Pre GS30</w:t>
            </w:r>
          </w:p>
        </w:tc>
        <w:tc>
          <w:tcPr>
            <w:tcW w:w="2643" w:type="dxa"/>
          </w:tcPr>
          <w:p w14:paraId="3F4198EC" w14:textId="7366A001" w:rsidR="00230073" w:rsidRPr="00990FA9" w:rsidRDefault="00230073" w:rsidP="009C3B8B">
            <w:pPr>
              <w:pStyle w:val="Table-Body-leftaligned"/>
              <w:keepLines/>
              <w:snapToGrid w:val="0"/>
              <w:rPr>
                <w:b/>
                <w:bCs/>
              </w:rPr>
            </w:pPr>
            <w:r w:rsidRPr="00990FA9">
              <w:rPr>
                <w:b/>
                <w:bCs/>
              </w:rPr>
              <w:t>Metconazole 90</w:t>
            </w:r>
          </w:p>
        </w:tc>
        <w:tc>
          <w:tcPr>
            <w:tcW w:w="2556" w:type="dxa"/>
          </w:tcPr>
          <w:p w14:paraId="0AC47746" w14:textId="326C446C" w:rsidR="00230073" w:rsidRPr="00990FA9" w:rsidRDefault="00230073" w:rsidP="009C3B8B">
            <w:pPr>
              <w:pStyle w:val="Table-Body-leftaligned"/>
              <w:keepLines/>
              <w:snapToGrid w:val="0"/>
              <w:rPr>
                <w:b/>
                <w:bCs/>
              </w:rPr>
            </w:pPr>
            <w:r w:rsidRPr="00990FA9">
              <w:rPr>
                <w:b/>
                <w:bCs/>
              </w:rPr>
              <w:t>0.6-1.0 l/ha</w:t>
            </w:r>
          </w:p>
        </w:tc>
        <w:tc>
          <w:tcPr>
            <w:tcW w:w="2404" w:type="dxa"/>
          </w:tcPr>
          <w:p w14:paraId="37B17AEA" w14:textId="03A8596E" w:rsidR="00230073" w:rsidRPr="00990FA9" w:rsidRDefault="00505878" w:rsidP="009C3B8B">
            <w:pPr>
              <w:pStyle w:val="Table-Body-leftaligned"/>
              <w:keepLines/>
              <w:snapToGrid w:val="0"/>
              <w:rPr>
                <w:b/>
                <w:bCs/>
              </w:rPr>
            </w:pPr>
            <w:r>
              <w:rPr>
                <w:b/>
                <w:bCs/>
              </w:rPr>
              <w:t xml:space="preserve">Compulsory. </w:t>
            </w:r>
          </w:p>
        </w:tc>
      </w:tr>
      <w:tr w:rsidR="00990FA9" w:rsidRPr="00462A2F" w14:paraId="41172031" w14:textId="77777777" w:rsidTr="00230073">
        <w:trPr>
          <w:jc w:val="center"/>
        </w:trPr>
        <w:tc>
          <w:tcPr>
            <w:tcW w:w="1271" w:type="dxa"/>
          </w:tcPr>
          <w:p w14:paraId="5344AECD" w14:textId="69D3B38B" w:rsidR="00990FA9" w:rsidRPr="00990FA9" w:rsidRDefault="00990FA9" w:rsidP="009C3B8B">
            <w:pPr>
              <w:pStyle w:val="Table-Body-leftaligned"/>
              <w:keepLines/>
              <w:snapToGrid w:val="0"/>
              <w:rPr>
                <w:b/>
                <w:bCs/>
              </w:rPr>
            </w:pPr>
            <w:r w:rsidRPr="00230073">
              <w:rPr>
                <w:b/>
                <w:bCs/>
              </w:rPr>
              <w:t>T0</w:t>
            </w:r>
          </w:p>
        </w:tc>
        <w:tc>
          <w:tcPr>
            <w:tcW w:w="1094" w:type="dxa"/>
          </w:tcPr>
          <w:p w14:paraId="0CF2C47E" w14:textId="799BBB67" w:rsidR="00990FA9" w:rsidRPr="00990FA9" w:rsidRDefault="00990FA9" w:rsidP="009C3B8B">
            <w:pPr>
              <w:pStyle w:val="Table-Body-leftaligned"/>
              <w:keepLines/>
              <w:snapToGrid w:val="0"/>
              <w:rPr>
                <w:b/>
                <w:bCs/>
              </w:rPr>
            </w:pPr>
            <w:r w:rsidRPr="00230073">
              <w:rPr>
                <w:b/>
                <w:bCs/>
              </w:rPr>
              <w:t>From GS</w:t>
            </w:r>
            <w:r>
              <w:rPr>
                <w:b/>
                <w:bCs/>
              </w:rPr>
              <w:t xml:space="preserve"> </w:t>
            </w:r>
            <w:r w:rsidRPr="00230073">
              <w:rPr>
                <w:b/>
                <w:bCs/>
              </w:rPr>
              <w:t>30</w:t>
            </w:r>
          </w:p>
        </w:tc>
        <w:tc>
          <w:tcPr>
            <w:tcW w:w="2643" w:type="dxa"/>
          </w:tcPr>
          <w:p w14:paraId="5868DD54" w14:textId="66714B70" w:rsidR="00990FA9" w:rsidRPr="00990FA9" w:rsidRDefault="00990FA9" w:rsidP="009C3B8B">
            <w:pPr>
              <w:pStyle w:val="Table-Body-leftaligned"/>
              <w:keepLines/>
              <w:snapToGrid w:val="0"/>
              <w:rPr>
                <w:b/>
                <w:bCs/>
              </w:rPr>
            </w:pPr>
            <w:r w:rsidRPr="00230073">
              <w:rPr>
                <w:b/>
                <w:bCs/>
              </w:rPr>
              <w:t>Tebuconazole 250</w:t>
            </w:r>
          </w:p>
        </w:tc>
        <w:tc>
          <w:tcPr>
            <w:tcW w:w="2556" w:type="dxa"/>
          </w:tcPr>
          <w:p w14:paraId="49FFCB43" w14:textId="2367EC9E" w:rsidR="00990FA9" w:rsidRPr="00990FA9" w:rsidRDefault="00990FA9" w:rsidP="009C3B8B">
            <w:pPr>
              <w:pStyle w:val="Table-Body-leftaligned"/>
              <w:keepLines/>
              <w:snapToGrid w:val="0"/>
              <w:rPr>
                <w:b/>
                <w:bCs/>
              </w:rPr>
            </w:pPr>
            <w:r w:rsidRPr="00230073">
              <w:rPr>
                <w:b/>
                <w:bCs/>
              </w:rPr>
              <w:t>1.0 l/ha</w:t>
            </w:r>
          </w:p>
        </w:tc>
        <w:tc>
          <w:tcPr>
            <w:tcW w:w="2404" w:type="dxa"/>
          </w:tcPr>
          <w:p w14:paraId="7525AAD2" w14:textId="53DDE52C" w:rsidR="00990FA9" w:rsidRPr="00990FA9" w:rsidRDefault="00505878" w:rsidP="009C3B8B">
            <w:pPr>
              <w:pStyle w:val="Table-Body-leftaligned"/>
              <w:keepLines/>
              <w:snapToGrid w:val="0"/>
              <w:rPr>
                <w:b/>
                <w:bCs/>
              </w:rPr>
            </w:pPr>
            <w:r>
              <w:rPr>
                <w:b/>
                <w:bCs/>
              </w:rPr>
              <w:t xml:space="preserve">Compulsory. </w:t>
            </w:r>
          </w:p>
        </w:tc>
      </w:tr>
      <w:tr w:rsidR="00990FA9" w:rsidRPr="00462A2F" w14:paraId="1DB4538D" w14:textId="77777777" w:rsidTr="00230073">
        <w:trPr>
          <w:jc w:val="center"/>
        </w:trPr>
        <w:tc>
          <w:tcPr>
            <w:tcW w:w="1271" w:type="dxa"/>
          </w:tcPr>
          <w:p w14:paraId="179E4F1A" w14:textId="509E85A2" w:rsidR="00990FA9" w:rsidRPr="00230073" w:rsidRDefault="00990FA9" w:rsidP="009C3B8B">
            <w:pPr>
              <w:pStyle w:val="Table-Body-leftaligned"/>
              <w:keepLines/>
              <w:snapToGrid w:val="0"/>
              <w:rPr>
                <w:b/>
                <w:bCs/>
              </w:rPr>
            </w:pPr>
            <w:r>
              <w:rPr>
                <w:b/>
                <w:bCs/>
              </w:rPr>
              <w:t>T1</w:t>
            </w:r>
          </w:p>
        </w:tc>
        <w:tc>
          <w:tcPr>
            <w:tcW w:w="1094" w:type="dxa"/>
          </w:tcPr>
          <w:p w14:paraId="2F4D5C68" w14:textId="6C796746" w:rsidR="00990FA9" w:rsidRPr="00230073" w:rsidRDefault="00990FA9" w:rsidP="009C3B8B">
            <w:pPr>
              <w:pStyle w:val="Table-Body-leftaligned"/>
              <w:keepLines/>
              <w:snapToGrid w:val="0"/>
              <w:rPr>
                <w:b/>
                <w:bCs/>
              </w:rPr>
            </w:pPr>
            <w:r>
              <w:rPr>
                <w:b/>
                <w:bCs/>
              </w:rPr>
              <w:t>GS 32</w:t>
            </w:r>
          </w:p>
        </w:tc>
        <w:tc>
          <w:tcPr>
            <w:tcW w:w="2643" w:type="dxa"/>
          </w:tcPr>
          <w:p w14:paraId="45DED1F4" w14:textId="087BD6F4" w:rsidR="00990FA9" w:rsidRPr="00230073" w:rsidRDefault="00990FA9" w:rsidP="009C3B8B">
            <w:pPr>
              <w:pStyle w:val="Table-Body-leftaligned"/>
              <w:keepLines/>
              <w:snapToGrid w:val="0"/>
              <w:rPr>
                <w:b/>
                <w:bCs/>
              </w:rPr>
            </w:pPr>
            <w:r w:rsidRPr="000A4A3F">
              <w:rPr>
                <w:b/>
                <w:bCs/>
              </w:rPr>
              <w:t>Amistar+</w:t>
            </w:r>
          </w:p>
        </w:tc>
        <w:tc>
          <w:tcPr>
            <w:tcW w:w="2556" w:type="dxa"/>
          </w:tcPr>
          <w:p w14:paraId="1029651F" w14:textId="11F1FF1F" w:rsidR="00990FA9" w:rsidRPr="00230073" w:rsidRDefault="00990FA9" w:rsidP="009C3B8B">
            <w:pPr>
              <w:pStyle w:val="Table-Body-leftaligned"/>
              <w:keepLines/>
              <w:snapToGrid w:val="0"/>
              <w:rPr>
                <w:b/>
                <w:bCs/>
              </w:rPr>
            </w:pPr>
            <w:r w:rsidRPr="000A4A3F">
              <w:rPr>
                <w:b/>
                <w:bCs/>
              </w:rPr>
              <w:t>1.0 l/ha</w:t>
            </w:r>
          </w:p>
        </w:tc>
        <w:tc>
          <w:tcPr>
            <w:tcW w:w="2404" w:type="dxa"/>
          </w:tcPr>
          <w:p w14:paraId="1F1903D2" w14:textId="6CBC6CCE" w:rsidR="00990FA9" w:rsidRPr="00990FA9" w:rsidRDefault="00505878" w:rsidP="009C3B8B">
            <w:pPr>
              <w:pStyle w:val="Table-Body-leftaligned"/>
              <w:keepLines/>
              <w:snapToGrid w:val="0"/>
              <w:rPr>
                <w:b/>
                <w:bCs/>
              </w:rPr>
            </w:pPr>
            <w:r>
              <w:rPr>
                <w:b/>
                <w:bCs/>
              </w:rPr>
              <w:t>Compulsory. A</w:t>
            </w:r>
            <w:r w:rsidR="00990FA9" w:rsidRPr="000A4A3F">
              <w:rPr>
                <w:b/>
                <w:bCs/>
              </w:rPr>
              <w:t xml:space="preserve"> minimum application interval of 14 days must be observed for Tebucur 250. Only one application is permitted before GS 39, and one application after GS 40.</w:t>
            </w:r>
          </w:p>
        </w:tc>
      </w:tr>
      <w:tr w:rsidR="00990FA9" w:rsidRPr="00462A2F" w14:paraId="2D7DAC7D" w14:textId="77777777" w:rsidTr="00230073">
        <w:trPr>
          <w:jc w:val="center"/>
        </w:trPr>
        <w:tc>
          <w:tcPr>
            <w:tcW w:w="1271" w:type="dxa"/>
          </w:tcPr>
          <w:p w14:paraId="1AA8EFFD" w14:textId="07C9D0CE" w:rsidR="00990FA9" w:rsidRPr="00230073" w:rsidRDefault="00990FA9" w:rsidP="009C3B8B">
            <w:pPr>
              <w:pStyle w:val="Table-Body-leftaligned"/>
              <w:keepLines/>
              <w:snapToGrid w:val="0"/>
              <w:rPr>
                <w:b/>
                <w:bCs/>
              </w:rPr>
            </w:pPr>
            <w:r>
              <w:rPr>
                <w:b/>
                <w:bCs/>
              </w:rPr>
              <w:lastRenderedPageBreak/>
              <w:t>T1</w:t>
            </w:r>
          </w:p>
        </w:tc>
        <w:tc>
          <w:tcPr>
            <w:tcW w:w="1094" w:type="dxa"/>
          </w:tcPr>
          <w:p w14:paraId="5E0B7242" w14:textId="645C2E13" w:rsidR="00990FA9" w:rsidRPr="00230073" w:rsidRDefault="00990FA9" w:rsidP="009C3B8B">
            <w:pPr>
              <w:pStyle w:val="Table-Body-leftaligned"/>
              <w:keepLines/>
              <w:snapToGrid w:val="0"/>
              <w:rPr>
                <w:b/>
                <w:bCs/>
              </w:rPr>
            </w:pPr>
            <w:r>
              <w:rPr>
                <w:b/>
                <w:bCs/>
              </w:rPr>
              <w:t>GS 32</w:t>
            </w:r>
          </w:p>
        </w:tc>
        <w:tc>
          <w:tcPr>
            <w:tcW w:w="2643" w:type="dxa"/>
          </w:tcPr>
          <w:p w14:paraId="782B3467" w14:textId="3F60746E" w:rsidR="00990FA9" w:rsidRPr="00230073" w:rsidRDefault="00990FA9" w:rsidP="009C3B8B">
            <w:pPr>
              <w:pStyle w:val="Table-Body-leftaligned"/>
              <w:keepLines/>
              <w:snapToGrid w:val="0"/>
              <w:rPr>
                <w:b/>
                <w:bCs/>
              </w:rPr>
            </w:pPr>
            <w:r w:rsidRPr="000A4A3F">
              <w:rPr>
                <w:b/>
                <w:bCs/>
              </w:rPr>
              <w:t>Cyflamid</w:t>
            </w:r>
          </w:p>
        </w:tc>
        <w:tc>
          <w:tcPr>
            <w:tcW w:w="2556" w:type="dxa"/>
          </w:tcPr>
          <w:p w14:paraId="2C8638DF" w14:textId="725F7E85" w:rsidR="00990FA9" w:rsidRPr="00230073" w:rsidRDefault="00990FA9" w:rsidP="009C3B8B">
            <w:pPr>
              <w:pStyle w:val="Table-Body-leftaligned"/>
              <w:keepLines/>
              <w:snapToGrid w:val="0"/>
              <w:rPr>
                <w:b/>
                <w:bCs/>
              </w:rPr>
            </w:pPr>
            <w:r w:rsidRPr="000A4A3F">
              <w:rPr>
                <w:b/>
                <w:bCs/>
              </w:rPr>
              <w:t>0.5 l/ha</w:t>
            </w:r>
          </w:p>
        </w:tc>
        <w:tc>
          <w:tcPr>
            <w:tcW w:w="2404" w:type="dxa"/>
          </w:tcPr>
          <w:p w14:paraId="34409AC1" w14:textId="06A86E1C" w:rsidR="00990FA9" w:rsidRPr="00990FA9" w:rsidRDefault="00505878" w:rsidP="009C3B8B">
            <w:pPr>
              <w:pStyle w:val="Table-Body-leftaligned"/>
              <w:keepLines/>
              <w:snapToGrid w:val="0"/>
              <w:rPr>
                <w:b/>
                <w:bCs/>
              </w:rPr>
            </w:pPr>
            <w:r>
              <w:rPr>
                <w:b/>
                <w:bCs/>
              </w:rPr>
              <w:t>Compulsory. A</w:t>
            </w:r>
            <w:r w:rsidR="00990FA9" w:rsidRPr="000A4A3F">
              <w:rPr>
                <w:b/>
                <w:bCs/>
              </w:rPr>
              <w:t xml:space="preserve"> minimum application interval of 14 days must be observed for Tebucur 250. Only one application is permitted before GS 39, and one application after GS 40.</w:t>
            </w:r>
          </w:p>
        </w:tc>
      </w:tr>
      <w:tr w:rsidR="00990FA9" w:rsidRPr="00462A2F" w14:paraId="761A18FF" w14:textId="77777777" w:rsidTr="00230073">
        <w:trPr>
          <w:jc w:val="center"/>
        </w:trPr>
        <w:tc>
          <w:tcPr>
            <w:tcW w:w="1271" w:type="dxa"/>
          </w:tcPr>
          <w:p w14:paraId="2333D156" w14:textId="78F4613F" w:rsidR="00990FA9" w:rsidRPr="00230073" w:rsidRDefault="00990FA9" w:rsidP="009C3B8B">
            <w:pPr>
              <w:pStyle w:val="Table-Body-leftaligned"/>
              <w:keepLines/>
              <w:snapToGrid w:val="0"/>
              <w:rPr>
                <w:b/>
                <w:bCs/>
              </w:rPr>
            </w:pPr>
            <w:r>
              <w:rPr>
                <w:b/>
                <w:bCs/>
              </w:rPr>
              <w:t>T1</w:t>
            </w:r>
          </w:p>
        </w:tc>
        <w:tc>
          <w:tcPr>
            <w:tcW w:w="1094" w:type="dxa"/>
          </w:tcPr>
          <w:p w14:paraId="15F28764" w14:textId="5243A433" w:rsidR="00990FA9" w:rsidRPr="00230073" w:rsidRDefault="00990FA9" w:rsidP="009C3B8B">
            <w:pPr>
              <w:pStyle w:val="Table-Body-leftaligned"/>
              <w:keepLines/>
              <w:snapToGrid w:val="0"/>
              <w:rPr>
                <w:b/>
                <w:bCs/>
              </w:rPr>
            </w:pPr>
            <w:r>
              <w:rPr>
                <w:b/>
                <w:bCs/>
              </w:rPr>
              <w:t>GS 32</w:t>
            </w:r>
          </w:p>
        </w:tc>
        <w:tc>
          <w:tcPr>
            <w:tcW w:w="2643" w:type="dxa"/>
          </w:tcPr>
          <w:p w14:paraId="1440D52E" w14:textId="07FF0B2D" w:rsidR="00990FA9" w:rsidRPr="00230073" w:rsidRDefault="00990FA9" w:rsidP="009C3B8B">
            <w:pPr>
              <w:pStyle w:val="Table-Body-leftaligned"/>
              <w:keepLines/>
              <w:snapToGrid w:val="0"/>
              <w:rPr>
                <w:b/>
                <w:bCs/>
              </w:rPr>
            </w:pPr>
            <w:r w:rsidRPr="000A4A3F">
              <w:rPr>
                <w:b/>
                <w:bCs/>
              </w:rPr>
              <w:t>Tebuconazole 250</w:t>
            </w:r>
          </w:p>
        </w:tc>
        <w:tc>
          <w:tcPr>
            <w:tcW w:w="2556" w:type="dxa"/>
          </w:tcPr>
          <w:p w14:paraId="163F14FD" w14:textId="5E5C7E3C" w:rsidR="00990FA9" w:rsidRPr="00230073" w:rsidRDefault="00990FA9" w:rsidP="009C3B8B">
            <w:pPr>
              <w:pStyle w:val="Table-Body-leftaligned"/>
              <w:keepLines/>
              <w:snapToGrid w:val="0"/>
              <w:rPr>
                <w:b/>
                <w:bCs/>
              </w:rPr>
            </w:pPr>
            <w:r w:rsidRPr="000A4A3F">
              <w:rPr>
                <w:b/>
                <w:bCs/>
              </w:rPr>
              <w:t>1.0 l/ha</w:t>
            </w:r>
          </w:p>
        </w:tc>
        <w:tc>
          <w:tcPr>
            <w:tcW w:w="2404" w:type="dxa"/>
          </w:tcPr>
          <w:p w14:paraId="6A1D5699" w14:textId="77777777" w:rsidR="009C3B8B" w:rsidRDefault="00505878" w:rsidP="009C3B8B">
            <w:pPr>
              <w:pStyle w:val="Table-Body-leftaligned"/>
              <w:keepLines/>
              <w:snapToGrid w:val="0"/>
              <w:rPr>
                <w:b/>
                <w:bCs/>
              </w:rPr>
            </w:pPr>
            <w:r>
              <w:rPr>
                <w:b/>
                <w:bCs/>
              </w:rPr>
              <w:t xml:space="preserve">Compulsory. </w:t>
            </w:r>
          </w:p>
          <w:p w14:paraId="0D14E822" w14:textId="6A4EBFB4" w:rsidR="00990FA9" w:rsidRPr="00990FA9" w:rsidRDefault="00505878" w:rsidP="009C3B8B">
            <w:pPr>
              <w:pStyle w:val="Table-Body-leftaligned"/>
              <w:keepLines/>
              <w:snapToGrid w:val="0"/>
              <w:rPr>
                <w:b/>
                <w:bCs/>
              </w:rPr>
            </w:pPr>
            <w:r>
              <w:rPr>
                <w:b/>
                <w:bCs/>
              </w:rPr>
              <w:t>A</w:t>
            </w:r>
            <w:r w:rsidR="00990FA9" w:rsidRPr="000A4A3F">
              <w:rPr>
                <w:b/>
                <w:bCs/>
              </w:rPr>
              <w:t xml:space="preserve"> minimum application interval of 14 days must be observed for Tebucur 250. Only one application is permitted before GS 39, and one application after GS 40.</w:t>
            </w:r>
          </w:p>
        </w:tc>
      </w:tr>
      <w:tr w:rsidR="00990FA9" w:rsidRPr="00462A2F" w14:paraId="72F32943" w14:textId="77777777" w:rsidTr="00230073">
        <w:trPr>
          <w:jc w:val="center"/>
        </w:trPr>
        <w:tc>
          <w:tcPr>
            <w:tcW w:w="1271" w:type="dxa"/>
          </w:tcPr>
          <w:p w14:paraId="14AF6EF0" w14:textId="4C1CCEAC" w:rsidR="00990FA9" w:rsidRDefault="00990FA9" w:rsidP="009C3B8B">
            <w:pPr>
              <w:pStyle w:val="Table-Body-leftaligned"/>
              <w:keepLines/>
              <w:snapToGrid w:val="0"/>
              <w:rPr>
                <w:b/>
                <w:bCs/>
              </w:rPr>
            </w:pPr>
            <w:r>
              <w:rPr>
                <w:b/>
                <w:bCs/>
              </w:rPr>
              <w:t>T1.5</w:t>
            </w:r>
          </w:p>
        </w:tc>
        <w:tc>
          <w:tcPr>
            <w:tcW w:w="1094" w:type="dxa"/>
          </w:tcPr>
          <w:p w14:paraId="293FACCE" w14:textId="0831756E" w:rsidR="00990FA9" w:rsidRDefault="00990FA9" w:rsidP="009C3B8B">
            <w:pPr>
              <w:pStyle w:val="Table-Body-leftaligned"/>
              <w:keepLines/>
              <w:snapToGrid w:val="0"/>
              <w:rPr>
                <w:b/>
                <w:bCs/>
              </w:rPr>
            </w:pPr>
            <w:r>
              <w:rPr>
                <w:b/>
                <w:bCs/>
              </w:rPr>
              <w:t>GS 33-37</w:t>
            </w:r>
          </w:p>
        </w:tc>
        <w:tc>
          <w:tcPr>
            <w:tcW w:w="2643" w:type="dxa"/>
          </w:tcPr>
          <w:p w14:paraId="0AD5167C" w14:textId="6C72A160" w:rsidR="00990FA9" w:rsidRPr="000A4A3F" w:rsidRDefault="00990FA9" w:rsidP="009C3B8B">
            <w:pPr>
              <w:pStyle w:val="Table-Body-leftaligned"/>
              <w:keepLines/>
              <w:snapToGrid w:val="0"/>
              <w:rPr>
                <w:b/>
                <w:bCs/>
              </w:rPr>
            </w:pPr>
            <w:r w:rsidRPr="00477030">
              <w:rPr>
                <w:b/>
                <w:bCs/>
              </w:rPr>
              <w:t>Tebuconazole 250</w:t>
            </w:r>
          </w:p>
        </w:tc>
        <w:tc>
          <w:tcPr>
            <w:tcW w:w="2556" w:type="dxa"/>
          </w:tcPr>
          <w:p w14:paraId="2BCC36A4" w14:textId="04A5C45C" w:rsidR="00990FA9" w:rsidRPr="000A4A3F" w:rsidRDefault="00990FA9" w:rsidP="009C3B8B">
            <w:pPr>
              <w:pStyle w:val="Table-Body-leftaligned"/>
              <w:keepLines/>
              <w:snapToGrid w:val="0"/>
              <w:rPr>
                <w:b/>
                <w:bCs/>
              </w:rPr>
            </w:pPr>
            <w:r w:rsidRPr="00477030">
              <w:rPr>
                <w:b/>
                <w:bCs/>
              </w:rPr>
              <w:t>1.0 l/ha</w:t>
            </w:r>
          </w:p>
        </w:tc>
        <w:tc>
          <w:tcPr>
            <w:tcW w:w="2404" w:type="dxa"/>
          </w:tcPr>
          <w:p w14:paraId="5458EFC5" w14:textId="4D2A295B" w:rsidR="00990FA9" w:rsidRPr="000A4A3F" w:rsidRDefault="00505878" w:rsidP="009C3B8B">
            <w:pPr>
              <w:pStyle w:val="Table-Body-leftaligned"/>
              <w:keepLines/>
              <w:snapToGrid w:val="0"/>
              <w:rPr>
                <w:b/>
                <w:bCs/>
              </w:rPr>
            </w:pPr>
            <w:r>
              <w:rPr>
                <w:b/>
                <w:bCs/>
              </w:rPr>
              <w:t>Compulsory.</w:t>
            </w:r>
          </w:p>
        </w:tc>
      </w:tr>
      <w:tr w:rsidR="00990FA9" w:rsidRPr="00462A2F" w14:paraId="0FAD9CB3" w14:textId="77777777" w:rsidTr="00230073">
        <w:trPr>
          <w:jc w:val="center"/>
        </w:trPr>
        <w:tc>
          <w:tcPr>
            <w:tcW w:w="1271" w:type="dxa"/>
          </w:tcPr>
          <w:p w14:paraId="281E8DA8" w14:textId="4D6B2291" w:rsidR="00990FA9" w:rsidRDefault="00990FA9" w:rsidP="009C3B8B">
            <w:pPr>
              <w:pStyle w:val="Table-Body-leftaligned"/>
              <w:keepLines/>
              <w:snapToGrid w:val="0"/>
              <w:rPr>
                <w:b/>
                <w:bCs/>
              </w:rPr>
            </w:pPr>
            <w:r>
              <w:rPr>
                <w:b/>
                <w:bCs/>
              </w:rPr>
              <w:t>T2</w:t>
            </w:r>
          </w:p>
        </w:tc>
        <w:tc>
          <w:tcPr>
            <w:tcW w:w="1094" w:type="dxa"/>
          </w:tcPr>
          <w:p w14:paraId="372D1CBB" w14:textId="2219F556" w:rsidR="00990FA9" w:rsidRDefault="00990FA9" w:rsidP="009C3B8B">
            <w:pPr>
              <w:pStyle w:val="Table-Body-leftaligned"/>
              <w:keepLines/>
              <w:snapToGrid w:val="0"/>
              <w:rPr>
                <w:b/>
                <w:bCs/>
              </w:rPr>
            </w:pPr>
            <w:r>
              <w:rPr>
                <w:b/>
                <w:bCs/>
              </w:rPr>
              <w:t>GS 39-45</w:t>
            </w:r>
          </w:p>
        </w:tc>
        <w:tc>
          <w:tcPr>
            <w:tcW w:w="2643" w:type="dxa"/>
          </w:tcPr>
          <w:p w14:paraId="58B3FC56" w14:textId="58E5A3DB" w:rsidR="00990FA9" w:rsidRPr="00477030" w:rsidRDefault="00990FA9" w:rsidP="009C3B8B">
            <w:pPr>
              <w:pStyle w:val="Table-Body-leftaligned"/>
              <w:keepLines/>
              <w:snapToGrid w:val="0"/>
              <w:rPr>
                <w:b/>
                <w:bCs/>
              </w:rPr>
            </w:pPr>
            <w:r w:rsidRPr="00477030">
              <w:rPr>
                <w:b/>
                <w:bCs/>
              </w:rPr>
              <w:t>Amistar +</w:t>
            </w:r>
          </w:p>
        </w:tc>
        <w:tc>
          <w:tcPr>
            <w:tcW w:w="2556" w:type="dxa"/>
          </w:tcPr>
          <w:p w14:paraId="0BE4573F" w14:textId="7CCBEA90" w:rsidR="00990FA9" w:rsidRPr="00477030" w:rsidRDefault="00990FA9" w:rsidP="009C3B8B">
            <w:pPr>
              <w:pStyle w:val="Table-Body-leftaligned"/>
              <w:keepLines/>
              <w:snapToGrid w:val="0"/>
              <w:rPr>
                <w:b/>
                <w:bCs/>
              </w:rPr>
            </w:pPr>
            <w:r w:rsidRPr="00477030">
              <w:rPr>
                <w:b/>
                <w:bCs/>
              </w:rPr>
              <w:t>1.0 l/ha</w:t>
            </w:r>
          </w:p>
        </w:tc>
        <w:tc>
          <w:tcPr>
            <w:tcW w:w="2404" w:type="dxa"/>
          </w:tcPr>
          <w:p w14:paraId="51F3C3DB" w14:textId="0E2EA7C0" w:rsidR="00990FA9" w:rsidRPr="000A4A3F" w:rsidRDefault="00505878" w:rsidP="009C3B8B">
            <w:pPr>
              <w:pStyle w:val="Table-Body-leftaligned"/>
              <w:keepLines/>
              <w:snapToGrid w:val="0"/>
              <w:rPr>
                <w:b/>
                <w:bCs/>
              </w:rPr>
            </w:pPr>
            <w:r>
              <w:rPr>
                <w:b/>
                <w:bCs/>
              </w:rPr>
              <w:t>Compulsory.</w:t>
            </w:r>
          </w:p>
        </w:tc>
      </w:tr>
      <w:tr w:rsidR="00990FA9" w:rsidRPr="00462A2F" w14:paraId="568856DB" w14:textId="77777777" w:rsidTr="00230073">
        <w:trPr>
          <w:jc w:val="center"/>
        </w:trPr>
        <w:tc>
          <w:tcPr>
            <w:tcW w:w="1271" w:type="dxa"/>
          </w:tcPr>
          <w:p w14:paraId="762EDA29" w14:textId="35F286A2" w:rsidR="00990FA9" w:rsidRDefault="00990FA9" w:rsidP="009C3B8B">
            <w:pPr>
              <w:pStyle w:val="Table-Body-leftaligned"/>
              <w:keepLines/>
              <w:snapToGrid w:val="0"/>
              <w:rPr>
                <w:b/>
                <w:bCs/>
              </w:rPr>
            </w:pPr>
            <w:r>
              <w:rPr>
                <w:b/>
                <w:bCs/>
              </w:rPr>
              <w:t>T2</w:t>
            </w:r>
          </w:p>
        </w:tc>
        <w:tc>
          <w:tcPr>
            <w:tcW w:w="1094" w:type="dxa"/>
          </w:tcPr>
          <w:p w14:paraId="7E74458F" w14:textId="3423B31E" w:rsidR="00990FA9" w:rsidRDefault="00990FA9" w:rsidP="009C3B8B">
            <w:pPr>
              <w:pStyle w:val="Table-Body-leftaligned"/>
              <w:keepLines/>
              <w:snapToGrid w:val="0"/>
              <w:rPr>
                <w:b/>
                <w:bCs/>
              </w:rPr>
            </w:pPr>
            <w:r>
              <w:rPr>
                <w:b/>
                <w:bCs/>
              </w:rPr>
              <w:t>GS 39-45</w:t>
            </w:r>
          </w:p>
        </w:tc>
        <w:tc>
          <w:tcPr>
            <w:tcW w:w="2643" w:type="dxa"/>
          </w:tcPr>
          <w:p w14:paraId="4D9D8A17" w14:textId="589B5D90" w:rsidR="00990FA9" w:rsidRPr="00477030" w:rsidRDefault="00990FA9" w:rsidP="009C3B8B">
            <w:pPr>
              <w:pStyle w:val="Table-Body-leftaligned"/>
              <w:keepLines/>
              <w:snapToGrid w:val="0"/>
              <w:rPr>
                <w:b/>
                <w:bCs/>
              </w:rPr>
            </w:pPr>
            <w:r w:rsidRPr="00477030">
              <w:rPr>
                <w:b/>
                <w:bCs/>
              </w:rPr>
              <w:t>Talius +</w:t>
            </w:r>
          </w:p>
        </w:tc>
        <w:tc>
          <w:tcPr>
            <w:tcW w:w="2556" w:type="dxa"/>
          </w:tcPr>
          <w:p w14:paraId="2FC77A09" w14:textId="5B614B15" w:rsidR="00990FA9" w:rsidRPr="00477030" w:rsidRDefault="00990FA9" w:rsidP="009C3B8B">
            <w:pPr>
              <w:pStyle w:val="Table-Body-leftaligned"/>
              <w:keepLines/>
              <w:snapToGrid w:val="0"/>
              <w:rPr>
                <w:b/>
                <w:bCs/>
              </w:rPr>
            </w:pPr>
            <w:r w:rsidRPr="00477030">
              <w:rPr>
                <w:b/>
                <w:bCs/>
              </w:rPr>
              <w:t>0.25 l/ha</w:t>
            </w:r>
          </w:p>
        </w:tc>
        <w:tc>
          <w:tcPr>
            <w:tcW w:w="2404" w:type="dxa"/>
          </w:tcPr>
          <w:p w14:paraId="12A17168" w14:textId="2EE62B6C" w:rsidR="00990FA9" w:rsidRPr="000A4A3F" w:rsidRDefault="00505878" w:rsidP="009C3B8B">
            <w:pPr>
              <w:pStyle w:val="Table-Body-leftaligned"/>
              <w:keepLines/>
              <w:snapToGrid w:val="0"/>
              <w:rPr>
                <w:b/>
                <w:bCs/>
              </w:rPr>
            </w:pPr>
            <w:r>
              <w:rPr>
                <w:b/>
                <w:bCs/>
              </w:rPr>
              <w:t>Compulsory.</w:t>
            </w:r>
          </w:p>
        </w:tc>
      </w:tr>
      <w:tr w:rsidR="00990FA9" w:rsidRPr="00462A2F" w14:paraId="57CF213D" w14:textId="77777777" w:rsidTr="00230073">
        <w:trPr>
          <w:jc w:val="center"/>
        </w:trPr>
        <w:tc>
          <w:tcPr>
            <w:tcW w:w="1271" w:type="dxa"/>
          </w:tcPr>
          <w:p w14:paraId="26291614" w14:textId="3E8A4271" w:rsidR="00990FA9" w:rsidRDefault="00990FA9" w:rsidP="009C3B8B">
            <w:pPr>
              <w:pStyle w:val="Table-Body-leftaligned"/>
              <w:keepLines/>
              <w:snapToGrid w:val="0"/>
              <w:rPr>
                <w:b/>
                <w:bCs/>
              </w:rPr>
            </w:pPr>
            <w:r>
              <w:rPr>
                <w:b/>
                <w:bCs/>
              </w:rPr>
              <w:t>T2</w:t>
            </w:r>
          </w:p>
        </w:tc>
        <w:tc>
          <w:tcPr>
            <w:tcW w:w="1094" w:type="dxa"/>
          </w:tcPr>
          <w:p w14:paraId="1140C5F3" w14:textId="5923AC69" w:rsidR="00990FA9" w:rsidRDefault="00990FA9" w:rsidP="009C3B8B">
            <w:pPr>
              <w:pStyle w:val="Table-Body-leftaligned"/>
              <w:keepLines/>
              <w:snapToGrid w:val="0"/>
              <w:rPr>
                <w:b/>
                <w:bCs/>
              </w:rPr>
            </w:pPr>
            <w:r>
              <w:rPr>
                <w:b/>
                <w:bCs/>
              </w:rPr>
              <w:t>GS 39-45</w:t>
            </w:r>
          </w:p>
        </w:tc>
        <w:tc>
          <w:tcPr>
            <w:tcW w:w="2643" w:type="dxa"/>
          </w:tcPr>
          <w:p w14:paraId="7CF6B618" w14:textId="489A1D4C" w:rsidR="00990FA9" w:rsidRPr="00477030" w:rsidRDefault="00990FA9" w:rsidP="009C3B8B">
            <w:pPr>
              <w:pStyle w:val="Table-Body-leftaligned"/>
              <w:keepLines/>
              <w:snapToGrid w:val="0"/>
              <w:rPr>
                <w:b/>
                <w:bCs/>
              </w:rPr>
            </w:pPr>
            <w:r w:rsidRPr="00477030">
              <w:rPr>
                <w:b/>
                <w:bCs/>
              </w:rPr>
              <w:t>Tebuconazole 250</w:t>
            </w:r>
          </w:p>
        </w:tc>
        <w:tc>
          <w:tcPr>
            <w:tcW w:w="2556" w:type="dxa"/>
          </w:tcPr>
          <w:p w14:paraId="1FB4A71D" w14:textId="5B62CEB0" w:rsidR="00990FA9" w:rsidRPr="00477030" w:rsidRDefault="00990FA9" w:rsidP="009C3B8B">
            <w:pPr>
              <w:pStyle w:val="Table-Body-leftaligned"/>
              <w:keepLines/>
              <w:snapToGrid w:val="0"/>
              <w:rPr>
                <w:b/>
                <w:bCs/>
              </w:rPr>
            </w:pPr>
            <w:r w:rsidRPr="00477030">
              <w:rPr>
                <w:b/>
                <w:bCs/>
              </w:rPr>
              <w:t>1.0 l/ha</w:t>
            </w:r>
          </w:p>
        </w:tc>
        <w:tc>
          <w:tcPr>
            <w:tcW w:w="2404" w:type="dxa"/>
          </w:tcPr>
          <w:p w14:paraId="707BC8B1" w14:textId="4F1C8A54" w:rsidR="00990FA9" w:rsidRPr="000A4A3F" w:rsidRDefault="00505878" w:rsidP="009C3B8B">
            <w:pPr>
              <w:pStyle w:val="Table-Body-leftaligned"/>
              <w:keepLines/>
              <w:snapToGrid w:val="0"/>
              <w:rPr>
                <w:b/>
                <w:bCs/>
              </w:rPr>
            </w:pPr>
            <w:r>
              <w:rPr>
                <w:b/>
                <w:bCs/>
              </w:rPr>
              <w:t>Compulsory.</w:t>
            </w:r>
          </w:p>
        </w:tc>
      </w:tr>
      <w:tr w:rsidR="00990FA9" w:rsidRPr="00462A2F" w14:paraId="4BCB29A5" w14:textId="77777777" w:rsidTr="00230073">
        <w:trPr>
          <w:jc w:val="center"/>
        </w:trPr>
        <w:tc>
          <w:tcPr>
            <w:tcW w:w="1271" w:type="dxa"/>
          </w:tcPr>
          <w:p w14:paraId="402516C0" w14:textId="0C8FC96A" w:rsidR="00990FA9" w:rsidRDefault="00990FA9" w:rsidP="009C3B8B">
            <w:pPr>
              <w:pStyle w:val="Table-Body-leftaligned"/>
              <w:keepLines/>
              <w:snapToGrid w:val="0"/>
              <w:rPr>
                <w:b/>
                <w:bCs/>
              </w:rPr>
            </w:pPr>
            <w:r>
              <w:rPr>
                <w:b/>
                <w:bCs/>
              </w:rPr>
              <w:t>T3</w:t>
            </w:r>
          </w:p>
        </w:tc>
        <w:tc>
          <w:tcPr>
            <w:tcW w:w="1094" w:type="dxa"/>
          </w:tcPr>
          <w:p w14:paraId="69E69B7D" w14:textId="032E9E49" w:rsidR="00990FA9" w:rsidRDefault="00990FA9" w:rsidP="009C3B8B">
            <w:pPr>
              <w:pStyle w:val="Table-Body-leftaligned"/>
              <w:keepLines/>
              <w:snapToGrid w:val="0"/>
              <w:rPr>
                <w:b/>
                <w:bCs/>
              </w:rPr>
            </w:pPr>
            <w:r>
              <w:rPr>
                <w:b/>
                <w:bCs/>
              </w:rPr>
              <w:t>GS 55-61</w:t>
            </w:r>
          </w:p>
        </w:tc>
        <w:tc>
          <w:tcPr>
            <w:tcW w:w="2643" w:type="dxa"/>
          </w:tcPr>
          <w:p w14:paraId="4EE7FF26" w14:textId="2E7B0188" w:rsidR="00990FA9" w:rsidRPr="00477030" w:rsidRDefault="00990FA9" w:rsidP="009C3B8B">
            <w:pPr>
              <w:pStyle w:val="Table-Body-leftaligned"/>
              <w:keepLines/>
              <w:snapToGrid w:val="0"/>
              <w:rPr>
                <w:b/>
                <w:bCs/>
              </w:rPr>
            </w:pPr>
            <w:r w:rsidRPr="00BC2F7F">
              <w:rPr>
                <w:b/>
                <w:bCs/>
              </w:rPr>
              <w:t>Tebuconazole 250</w:t>
            </w:r>
          </w:p>
        </w:tc>
        <w:tc>
          <w:tcPr>
            <w:tcW w:w="2556" w:type="dxa"/>
          </w:tcPr>
          <w:p w14:paraId="35342E7F" w14:textId="3FF67BED" w:rsidR="00990FA9" w:rsidRPr="00477030" w:rsidRDefault="00990FA9" w:rsidP="009C3B8B">
            <w:pPr>
              <w:pStyle w:val="Table-Body-leftaligned"/>
              <w:keepLines/>
              <w:snapToGrid w:val="0"/>
              <w:rPr>
                <w:b/>
                <w:bCs/>
              </w:rPr>
            </w:pPr>
            <w:r w:rsidRPr="00BC2F7F">
              <w:rPr>
                <w:b/>
                <w:bCs/>
              </w:rPr>
              <w:t>1.0 l/ha</w:t>
            </w:r>
          </w:p>
        </w:tc>
        <w:tc>
          <w:tcPr>
            <w:tcW w:w="2404" w:type="dxa"/>
          </w:tcPr>
          <w:p w14:paraId="2DE881E0" w14:textId="1F999AA4" w:rsidR="00990FA9" w:rsidRPr="000A4A3F" w:rsidRDefault="00505878" w:rsidP="009C3B8B">
            <w:pPr>
              <w:pStyle w:val="Table-Body-leftaligned"/>
              <w:keepLines/>
              <w:snapToGrid w:val="0"/>
              <w:rPr>
                <w:b/>
                <w:bCs/>
              </w:rPr>
            </w:pPr>
            <w:r>
              <w:rPr>
                <w:b/>
                <w:bCs/>
              </w:rPr>
              <w:t>Compulsory</w:t>
            </w:r>
            <w:r w:rsidR="00CA37C8">
              <w:rPr>
                <w:b/>
                <w:bCs/>
              </w:rPr>
              <w:t>.</w:t>
            </w:r>
          </w:p>
        </w:tc>
      </w:tr>
    </w:tbl>
    <w:p w14:paraId="5E99B2FC" w14:textId="77777777" w:rsidR="00BC2F7F" w:rsidRDefault="00BC2F7F" w:rsidP="00BC2F7F">
      <w:pPr>
        <w:rPr>
          <w:b/>
          <w:bCs/>
        </w:rPr>
      </w:pPr>
    </w:p>
    <w:p w14:paraId="5E1B8CF7" w14:textId="77777777" w:rsidR="00A931C1" w:rsidRPr="00A931C1" w:rsidRDefault="00A931C1" w:rsidP="00A931C1">
      <w:pPr>
        <w:pStyle w:val="BodyText"/>
        <w:ind w:right="-296"/>
        <w:jc w:val="both"/>
        <w:rPr>
          <w:rFonts w:ascii="Arial" w:hAnsi="Arial" w:cs="Arial"/>
          <w:b/>
          <w:bCs/>
          <w:color w:val="5F5F5F"/>
          <w:kern w:val="0"/>
        </w:rPr>
      </w:pPr>
      <w:r w:rsidRPr="00A931C1">
        <w:rPr>
          <w:rFonts w:ascii="Arial" w:hAnsi="Arial" w:cs="Arial"/>
          <w:b/>
          <w:bCs/>
          <w:color w:val="5F5F5F"/>
          <w:kern w:val="0"/>
        </w:rPr>
        <w:t>Ensure Tebuconazole product applications are compliant with label restrictions.</w:t>
      </w:r>
    </w:p>
    <w:p w14:paraId="6BDE008A" w14:textId="046A3CB6" w:rsidR="009C3B8B" w:rsidRDefault="001A47D4" w:rsidP="009C3B8B">
      <w:pPr>
        <w:jc w:val="both"/>
      </w:pPr>
      <w:r w:rsidRPr="001A47D4">
        <w:t>These measures are designed to prevent loss of disease assessment data by swamping out of target disease due to infection by a different disease, there may be situations where despite application of this programme the target disease is un-measurable. If you suspect that this situation is likely contact the RL Trials Co-ordinator before taking any decisions to abandon the trial or not to apply further fungicide treatments. A trial inspection may be required before any final decisions can be taken to stop work on the trial.</w:t>
      </w:r>
    </w:p>
    <w:p w14:paraId="6458B35A" w14:textId="77777777" w:rsidR="009C3B8B" w:rsidRDefault="009C3B8B" w:rsidP="009C3B8B">
      <w:pPr>
        <w:pStyle w:val="Heading2"/>
      </w:pPr>
      <w:r>
        <w:t>Contact us</w:t>
      </w:r>
    </w:p>
    <w:p w14:paraId="39E564E1" w14:textId="77777777" w:rsidR="009C3B8B" w:rsidRDefault="009C3B8B" w:rsidP="009C3B8B">
      <w:r w:rsidRPr="00B05791">
        <w:t xml:space="preserve">AHDB, Siskin Parkway East, Middlemarch Business Park, Coventry CV3 4PE </w:t>
      </w:r>
      <w:r w:rsidRPr="00B05791">
        <w:tab/>
      </w:r>
    </w:p>
    <w:p w14:paraId="5113C76C" w14:textId="7AA7C5BD" w:rsidR="009C3B8B" w:rsidRPr="009C3B8B" w:rsidRDefault="009C3B8B" w:rsidP="009C3B8B">
      <w:pPr>
        <w:sectPr w:rsidR="009C3B8B" w:rsidRPr="009C3B8B" w:rsidSect="00F36153">
          <w:headerReference w:type="default" r:id="rId12"/>
          <w:footerReference w:type="even" r:id="rId13"/>
          <w:footerReference w:type="default" r:id="rId14"/>
          <w:headerReference w:type="first" r:id="rId15"/>
          <w:pgSz w:w="11906" w:h="16838"/>
          <w:pgMar w:top="2268" w:right="964" w:bottom="2041" w:left="964" w:header="680" w:footer="0" w:gutter="0"/>
          <w:cols w:space="708"/>
          <w:titlePg/>
          <w:docGrid w:linePitch="360"/>
        </w:sectPr>
      </w:pPr>
      <w:r w:rsidRPr="00B05791">
        <w:t>Email: info@ahdb.org</w:t>
      </w:r>
      <w:r>
        <w:t>.uk</w:t>
      </w:r>
    </w:p>
    <w:p w14:paraId="733A8006" w14:textId="463449A8" w:rsidR="00C93514" w:rsidRPr="001A47D4" w:rsidRDefault="00C93514" w:rsidP="009C3B8B">
      <w:pPr>
        <w:jc w:val="center"/>
        <w:rPr>
          <w:b/>
          <w:bCs/>
        </w:rPr>
      </w:pPr>
    </w:p>
    <w:sectPr w:rsidR="00C93514" w:rsidRPr="001A47D4" w:rsidSect="003F551F">
      <w:pgSz w:w="11906" w:h="16838"/>
      <w:pgMar w:top="1135" w:right="964" w:bottom="2041" w:left="96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749" w14:textId="77777777" w:rsidR="00B615F3" w:rsidRDefault="00B615F3" w:rsidP="00F86FBC">
      <w:r>
        <w:separator/>
      </w:r>
    </w:p>
    <w:p w14:paraId="24272644" w14:textId="77777777" w:rsidR="00B615F3" w:rsidRDefault="00B615F3"/>
  </w:endnote>
  <w:endnote w:type="continuationSeparator" w:id="0">
    <w:p w14:paraId="7E5D457B" w14:textId="77777777" w:rsidR="00B615F3" w:rsidRDefault="00B615F3" w:rsidP="00F86FBC">
      <w:r>
        <w:continuationSeparator/>
      </w:r>
    </w:p>
    <w:p w14:paraId="5B3F723F" w14:textId="77777777" w:rsidR="00B615F3" w:rsidRDefault="00B6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3E40" w14:textId="77777777" w:rsidR="00A863D4" w:rsidRDefault="00A863D4">
    <w:pPr>
      <w:pStyle w:val="Footer"/>
      <w:jc w:val="center"/>
    </w:pPr>
    <w:r>
      <w:fldChar w:fldCharType="begin"/>
    </w:r>
    <w:r>
      <w:instrText xml:space="preserve"> PAGE   \* MERGEFORMAT </w:instrText>
    </w:r>
    <w:r>
      <w:fldChar w:fldCharType="separate"/>
    </w:r>
    <w:r>
      <w:rPr>
        <w:noProof/>
      </w:rPr>
      <w:t>2</w:t>
    </w:r>
    <w:r>
      <w:rPr>
        <w:noProof/>
      </w:rPr>
      <w:fldChar w:fldCharType="end"/>
    </w:r>
  </w:p>
  <w:p w14:paraId="4025F451" w14:textId="77777777" w:rsidR="00A863D4" w:rsidRDefault="00A8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28C8E995" w:rsidR="00B05791" w:rsidRPr="00F36153" w:rsidRDefault="00F41E71" w:rsidP="00740B5A">
    <w:pPr>
      <w:pStyle w:val="Footer"/>
      <w:tabs>
        <w:tab w:val="clear" w:pos="4513"/>
        <w:tab w:val="center" w:pos="4395"/>
      </w:tabs>
      <w:rPr>
        <w:sz w:val="20"/>
      </w:rPr>
    </w:pPr>
    <w:r w:rsidRPr="00F36153">
      <w:rPr>
        <w:sz w:val="20"/>
      </w:rPr>
      <w:t xml:space="preserve">Page </w:t>
    </w:r>
    <w:r w:rsidRPr="00F36153">
      <w:rPr>
        <w:sz w:val="20"/>
      </w:rPr>
      <w:fldChar w:fldCharType="begin"/>
    </w:r>
    <w:r w:rsidRPr="00F36153">
      <w:rPr>
        <w:sz w:val="20"/>
      </w:rPr>
      <w:instrText xml:space="preserve"> PAGE  \* Arabic  \* MERGEFORMAT </w:instrText>
    </w:r>
    <w:r w:rsidRPr="00F36153">
      <w:rPr>
        <w:sz w:val="20"/>
      </w:rPr>
      <w:fldChar w:fldCharType="separate"/>
    </w:r>
    <w:r w:rsidRPr="00F36153">
      <w:rPr>
        <w:sz w:val="20"/>
      </w:rPr>
      <w:t>2</w:t>
    </w:r>
    <w:r w:rsidRPr="00F36153">
      <w:rPr>
        <w:sz w:val="20"/>
      </w:rPr>
      <w:fldChar w:fldCharType="end"/>
    </w:r>
    <w:r w:rsidRPr="00F36153">
      <w:rPr>
        <w:sz w:val="20"/>
      </w:rPr>
      <w:t xml:space="preserve"> of </w:t>
    </w:r>
    <w:r w:rsidRPr="00F36153">
      <w:rPr>
        <w:sz w:val="20"/>
      </w:rPr>
      <w:fldChar w:fldCharType="begin"/>
    </w:r>
    <w:r w:rsidRPr="00F36153">
      <w:rPr>
        <w:sz w:val="20"/>
      </w:rPr>
      <w:instrText xml:space="preserve"> NUMPAGES  \* Arabic  \* MERGEFORMAT </w:instrText>
    </w:r>
    <w:r w:rsidRPr="00F36153">
      <w:rPr>
        <w:sz w:val="20"/>
      </w:rPr>
      <w:fldChar w:fldCharType="separate"/>
    </w:r>
    <w:r w:rsidRPr="00F36153">
      <w:rPr>
        <w:sz w:val="20"/>
      </w:rPr>
      <w:t>2</w:t>
    </w:r>
    <w:r w:rsidRPr="00F36153">
      <w:rPr>
        <w:sz w:val="20"/>
      </w:rPr>
      <w:fldChar w:fldCharType="end"/>
    </w:r>
    <w:r w:rsidR="002341E1" w:rsidRPr="00F36153">
      <w:rPr>
        <w:sz w:val="20"/>
      </w:rPr>
      <w:t xml:space="preserve"> </w:t>
    </w:r>
    <w:r w:rsidR="00F36153">
      <w:rPr>
        <w:sz w:val="20"/>
      </w:rPr>
      <w:t xml:space="preserve">                                     </w:t>
    </w:r>
    <w:r w:rsidR="002341E1" w:rsidRPr="00F36153">
      <w:rPr>
        <w:sz w:val="20"/>
      </w:rPr>
      <w:tab/>
    </w:r>
    <w:r w:rsidR="00B539D5" w:rsidRPr="00F36153">
      <w:rPr>
        <w:sz w:val="20"/>
      </w:rPr>
      <w:sym w:font="Symbol" w:char="F0E3"/>
    </w:r>
    <w:r w:rsidR="00B539D5" w:rsidRPr="00F36153">
      <w:rPr>
        <w:sz w:val="20"/>
      </w:rPr>
      <w:t xml:space="preserve"> Agriculture and Horticulture Development Board </w:t>
    </w:r>
    <w:r w:rsidR="00B539D5" w:rsidRPr="00F36153">
      <w:rPr>
        <w:sz w:val="20"/>
      </w:rPr>
      <w:fldChar w:fldCharType="begin"/>
    </w:r>
    <w:r w:rsidR="00B539D5" w:rsidRPr="00F36153">
      <w:rPr>
        <w:sz w:val="20"/>
      </w:rPr>
      <w:instrText xml:space="preserve"> DATE \@ "yyyy" \* MERGEFORMAT </w:instrText>
    </w:r>
    <w:r w:rsidR="00B539D5" w:rsidRPr="00F36153">
      <w:rPr>
        <w:sz w:val="20"/>
      </w:rPr>
      <w:fldChar w:fldCharType="separate"/>
    </w:r>
    <w:r w:rsidR="00056AE8">
      <w:rPr>
        <w:noProof/>
        <w:sz w:val="20"/>
      </w:rPr>
      <w:t>2026</w:t>
    </w:r>
    <w:r w:rsidR="00B539D5" w:rsidRPr="00F36153">
      <w:rPr>
        <w:sz w:val="20"/>
      </w:rPr>
      <w:fldChar w:fldCharType="end"/>
    </w:r>
    <w:r w:rsidR="00B539D5" w:rsidRPr="00F36153">
      <w:rPr>
        <w:sz w:val="20"/>
      </w:rPr>
      <w:t>. All rights reserved.</w:t>
    </w:r>
  </w:p>
  <w:p w14:paraId="3BB49FB2" w14:textId="1D876DB3" w:rsidR="00F41E71" w:rsidRPr="00F36153" w:rsidRDefault="00F41E71" w:rsidP="00B05791">
    <w:pPr>
      <w:pStyle w:val="Footer"/>
      <w:tabs>
        <w:tab w:val="center" w:pos="4395"/>
      </w:tabs>
      <w:rPr>
        <w:sz w:val="20"/>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B0AA" w14:textId="77777777" w:rsidR="00B615F3" w:rsidRDefault="00B615F3" w:rsidP="00F86FBC">
      <w:r>
        <w:separator/>
      </w:r>
    </w:p>
    <w:p w14:paraId="56E72E17" w14:textId="77777777" w:rsidR="00B615F3" w:rsidRDefault="00B615F3"/>
  </w:footnote>
  <w:footnote w:type="continuationSeparator" w:id="0">
    <w:p w14:paraId="1986DE63" w14:textId="77777777" w:rsidR="00B615F3" w:rsidRDefault="00B615F3" w:rsidP="00F86FBC">
      <w:r>
        <w:continuationSeparator/>
      </w:r>
    </w:p>
    <w:p w14:paraId="660E2B8B" w14:textId="77777777" w:rsidR="00B615F3" w:rsidRDefault="00B6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96A7" w14:textId="0920B676" w:rsidR="00990FA9" w:rsidRDefault="00990FA9">
    <w:pPr>
      <w:pStyle w:val="Header"/>
    </w:pPr>
    <w:r w:rsidRPr="007A3454">
      <w:rPr>
        <w:rStyle w:val="Heading4Char"/>
        <w:rFonts w:eastAsiaTheme="minorHAnsi"/>
        <w:noProof/>
        <w:lang w:val="en-US" w:eastAsia="en-US"/>
      </w:rPr>
      <w:drawing>
        <wp:anchor distT="0" distB="0" distL="114300" distR="114300" simplePos="0" relativeHeight="251661312" behindDoc="0" locked="0" layoutInCell="1" allowOverlap="1" wp14:anchorId="47048237" wp14:editId="3C62D7AB">
          <wp:simplePos x="0" y="0"/>
          <wp:positionH relativeFrom="column">
            <wp:posOffset>4943475</wp:posOffset>
          </wp:positionH>
          <wp:positionV relativeFrom="paragraph">
            <wp:posOffset>-85725</wp:posOffset>
          </wp:positionV>
          <wp:extent cx="1259840" cy="546100"/>
          <wp:effectExtent l="0" t="0" r="0" b="0"/>
          <wp:wrapNone/>
          <wp:docPr id="1337431640" name="Picture 133743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8E235EF" w:rsidR="005D76FD" w:rsidRDefault="005D76FD" w:rsidP="00F86FBC">
    <w:pPr>
      <w:pStyle w:val="Header"/>
    </w:pPr>
  </w:p>
  <w:p w14:paraId="0AD9F250" w14:textId="77777777" w:rsidR="005D76FD" w:rsidRDefault="005D76FD" w:rsidP="00F86FBC">
    <w:pPr>
      <w:pStyle w:val="Header"/>
    </w:pPr>
  </w:p>
  <w:p w14:paraId="6631AA0C"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6D7" w14:textId="193C1B9F" w:rsidR="00F36153" w:rsidRDefault="00F36153">
    <w:pPr>
      <w:pStyle w:val="Header"/>
    </w:pPr>
    <w:r w:rsidRPr="007A3454">
      <w:rPr>
        <w:rStyle w:val="Heading2Char"/>
        <w:rFonts w:eastAsiaTheme="minorHAnsi"/>
        <w:noProof/>
        <w:lang w:val="en-US" w:eastAsia="en-US"/>
      </w:rPr>
      <w:drawing>
        <wp:anchor distT="0" distB="0" distL="114300" distR="114300" simplePos="0" relativeHeight="251659264" behindDoc="0" locked="0" layoutInCell="1" allowOverlap="1" wp14:anchorId="31FC57BD" wp14:editId="671EDC1C">
          <wp:simplePos x="0" y="0"/>
          <wp:positionH relativeFrom="column">
            <wp:posOffset>5105400</wp:posOffset>
          </wp:positionH>
          <wp:positionV relativeFrom="paragraph">
            <wp:posOffset>-635</wp:posOffset>
          </wp:positionV>
          <wp:extent cx="1259840" cy="546100"/>
          <wp:effectExtent l="0" t="0" r="0" b="0"/>
          <wp:wrapNone/>
          <wp:docPr id="118471727" name="Picture 11847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1A008D"/>
    <w:multiLevelType w:val="hybridMultilevel"/>
    <w:tmpl w:val="2B00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9"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0"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4" w15:restartNumberingAfterBreak="0">
    <w:nsid w:val="7C1041E1"/>
    <w:multiLevelType w:val="hybridMultilevel"/>
    <w:tmpl w:val="FD7A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53938">
    <w:abstractNumId w:val="25"/>
  </w:num>
  <w:num w:numId="2" w16cid:durableId="440146533">
    <w:abstractNumId w:val="0"/>
  </w:num>
  <w:num w:numId="3" w16cid:durableId="2051806794">
    <w:abstractNumId w:val="17"/>
  </w:num>
  <w:num w:numId="4" w16cid:durableId="1476675530">
    <w:abstractNumId w:val="30"/>
  </w:num>
  <w:num w:numId="5" w16cid:durableId="1114057574">
    <w:abstractNumId w:val="32"/>
  </w:num>
  <w:num w:numId="6" w16cid:durableId="1979526830">
    <w:abstractNumId w:val="22"/>
  </w:num>
  <w:num w:numId="7" w16cid:durableId="686911828">
    <w:abstractNumId w:val="21"/>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6"/>
  </w:num>
  <w:num w:numId="22" w16cid:durableId="669450329">
    <w:abstractNumId w:val="24"/>
  </w:num>
  <w:num w:numId="23" w16cid:durableId="1919287998">
    <w:abstractNumId w:val="28"/>
  </w:num>
  <w:num w:numId="24" w16cid:durableId="2006857881">
    <w:abstractNumId w:val="19"/>
  </w:num>
  <w:num w:numId="25" w16cid:durableId="1574075096">
    <w:abstractNumId w:val="20"/>
  </w:num>
  <w:num w:numId="26" w16cid:durableId="264920688">
    <w:abstractNumId w:val="14"/>
  </w:num>
  <w:num w:numId="27" w16cid:durableId="1996297387">
    <w:abstractNumId w:val="27"/>
  </w:num>
  <w:num w:numId="28" w16cid:durableId="495390249">
    <w:abstractNumId w:val="23"/>
  </w:num>
  <w:num w:numId="29" w16cid:durableId="759790617">
    <w:abstractNumId w:val="19"/>
    <w:lvlOverride w:ilvl="0">
      <w:startOverride w:val="1"/>
    </w:lvlOverride>
  </w:num>
  <w:num w:numId="30" w16cid:durableId="1368289204">
    <w:abstractNumId w:val="31"/>
  </w:num>
  <w:num w:numId="31" w16cid:durableId="756832289">
    <w:abstractNumId w:val="13"/>
  </w:num>
  <w:num w:numId="32" w16cid:durableId="2110000414">
    <w:abstractNumId w:val="33"/>
  </w:num>
  <w:num w:numId="33" w16cid:durableId="1933931263">
    <w:abstractNumId w:val="15"/>
  </w:num>
  <w:num w:numId="34" w16cid:durableId="1722896190">
    <w:abstractNumId w:val="29"/>
  </w:num>
  <w:num w:numId="35" w16cid:durableId="1818262511">
    <w:abstractNumId w:val="10"/>
  </w:num>
  <w:num w:numId="36" w16cid:durableId="313140459">
    <w:abstractNumId w:val="18"/>
  </w:num>
  <w:num w:numId="37" w16cid:durableId="19932876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Mc/z01gbSqPFrvX9U8Sz+v8RE2oEFJ8KoaNf45OMc+IlQOmIycE+PKfeOH4TZWZgIyH8rl+VfvguFCLjQv9mQ==" w:salt="o+mDgIRjA/h7UrMpUazi3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C32"/>
    <w:rsid w:val="000073E2"/>
    <w:rsid w:val="00010023"/>
    <w:rsid w:val="00043C65"/>
    <w:rsid w:val="000541B5"/>
    <w:rsid w:val="0005468D"/>
    <w:rsid w:val="00056AE8"/>
    <w:rsid w:val="000603D9"/>
    <w:rsid w:val="00060BAD"/>
    <w:rsid w:val="0006243B"/>
    <w:rsid w:val="000652BD"/>
    <w:rsid w:val="0008594E"/>
    <w:rsid w:val="000A4A3F"/>
    <w:rsid w:val="000B2ACD"/>
    <w:rsid w:val="000C0E78"/>
    <w:rsid w:val="000C0EAA"/>
    <w:rsid w:val="000C5AD0"/>
    <w:rsid w:val="000C6DA1"/>
    <w:rsid w:val="000E0CC6"/>
    <w:rsid w:val="00123796"/>
    <w:rsid w:val="001276F4"/>
    <w:rsid w:val="00136CA7"/>
    <w:rsid w:val="0015453B"/>
    <w:rsid w:val="00162F15"/>
    <w:rsid w:val="00164680"/>
    <w:rsid w:val="0017068D"/>
    <w:rsid w:val="001777A4"/>
    <w:rsid w:val="001924A6"/>
    <w:rsid w:val="001A47D4"/>
    <w:rsid w:val="001A77E4"/>
    <w:rsid w:val="001A7B17"/>
    <w:rsid w:val="001B22CB"/>
    <w:rsid w:val="001E675E"/>
    <w:rsid w:val="00202D89"/>
    <w:rsid w:val="00204B44"/>
    <w:rsid w:val="00211E92"/>
    <w:rsid w:val="00213709"/>
    <w:rsid w:val="00226D7C"/>
    <w:rsid w:val="00230073"/>
    <w:rsid w:val="00233DA5"/>
    <w:rsid w:val="002341E1"/>
    <w:rsid w:val="00243D9B"/>
    <w:rsid w:val="00253BD2"/>
    <w:rsid w:val="00263DD9"/>
    <w:rsid w:val="0027056A"/>
    <w:rsid w:val="00271B49"/>
    <w:rsid w:val="00271FAB"/>
    <w:rsid w:val="002831FE"/>
    <w:rsid w:val="00284707"/>
    <w:rsid w:val="00295C29"/>
    <w:rsid w:val="002A3CB4"/>
    <w:rsid w:val="002B53AC"/>
    <w:rsid w:val="002B708D"/>
    <w:rsid w:val="002D1274"/>
    <w:rsid w:val="002D17D3"/>
    <w:rsid w:val="002E0F08"/>
    <w:rsid w:val="002E4B61"/>
    <w:rsid w:val="002F559A"/>
    <w:rsid w:val="002F64F8"/>
    <w:rsid w:val="003016D2"/>
    <w:rsid w:val="00303646"/>
    <w:rsid w:val="003379F4"/>
    <w:rsid w:val="00337D0D"/>
    <w:rsid w:val="0035023E"/>
    <w:rsid w:val="00371A1C"/>
    <w:rsid w:val="00391132"/>
    <w:rsid w:val="003946C5"/>
    <w:rsid w:val="003D0E26"/>
    <w:rsid w:val="003D0E4F"/>
    <w:rsid w:val="003D10DF"/>
    <w:rsid w:val="003F551F"/>
    <w:rsid w:val="00421214"/>
    <w:rsid w:val="00426604"/>
    <w:rsid w:val="00437579"/>
    <w:rsid w:val="004441FD"/>
    <w:rsid w:val="004556F2"/>
    <w:rsid w:val="00460A64"/>
    <w:rsid w:val="00467747"/>
    <w:rsid w:val="00470C05"/>
    <w:rsid w:val="00477030"/>
    <w:rsid w:val="0049755E"/>
    <w:rsid w:val="0049758A"/>
    <w:rsid w:val="004A5E0F"/>
    <w:rsid w:val="004B5C5D"/>
    <w:rsid w:val="004C0E9A"/>
    <w:rsid w:val="004D4F8D"/>
    <w:rsid w:val="004D5544"/>
    <w:rsid w:val="004E587F"/>
    <w:rsid w:val="004F2A87"/>
    <w:rsid w:val="004F44A9"/>
    <w:rsid w:val="00502D75"/>
    <w:rsid w:val="00505878"/>
    <w:rsid w:val="0052718A"/>
    <w:rsid w:val="00527301"/>
    <w:rsid w:val="005323C8"/>
    <w:rsid w:val="00534A9E"/>
    <w:rsid w:val="00544050"/>
    <w:rsid w:val="00546BC3"/>
    <w:rsid w:val="00560A1C"/>
    <w:rsid w:val="00576BFE"/>
    <w:rsid w:val="005873B4"/>
    <w:rsid w:val="005C0E73"/>
    <w:rsid w:val="005D5548"/>
    <w:rsid w:val="005D6F6B"/>
    <w:rsid w:val="005D76FD"/>
    <w:rsid w:val="005F5A75"/>
    <w:rsid w:val="00611317"/>
    <w:rsid w:val="00625DDC"/>
    <w:rsid w:val="0062607B"/>
    <w:rsid w:val="006309B4"/>
    <w:rsid w:val="00632A67"/>
    <w:rsid w:val="006410F8"/>
    <w:rsid w:val="00665990"/>
    <w:rsid w:val="006803BA"/>
    <w:rsid w:val="00683160"/>
    <w:rsid w:val="00686074"/>
    <w:rsid w:val="006A4280"/>
    <w:rsid w:val="006A57A2"/>
    <w:rsid w:val="006B53F0"/>
    <w:rsid w:val="006E033E"/>
    <w:rsid w:val="006E38D9"/>
    <w:rsid w:val="006E46BF"/>
    <w:rsid w:val="006F0812"/>
    <w:rsid w:val="00703AB1"/>
    <w:rsid w:val="00705F7A"/>
    <w:rsid w:val="0071444F"/>
    <w:rsid w:val="00725D0B"/>
    <w:rsid w:val="007319F2"/>
    <w:rsid w:val="00731F40"/>
    <w:rsid w:val="00740B5A"/>
    <w:rsid w:val="00745AEA"/>
    <w:rsid w:val="00753979"/>
    <w:rsid w:val="00773A07"/>
    <w:rsid w:val="00783013"/>
    <w:rsid w:val="007A3454"/>
    <w:rsid w:val="007B0F62"/>
    <w:rsid w:val="007E51BB"/>
    <w:rsid w:val="007F230D"/>
    <w:rsid w:val="00800A52"/>
    <w:rsid w:val="0082080F"/>
    <w:rsid w:val="00820EC5"/>
    <w:rsid w:val="008270F4"/>
    <w:rsid w:val="0083209F"/>
    <w:rsid w:val="00833435"/>
    <w:rsid w:val="008550BC"/>
    <w:rsid w:val="008552E0"/>
    <w:rsid w:val="0086102D"/>
    <w:rsid w:val="00864C3E"/>
    <w:rsid w:val="008729D9"/>
    <w:rsid w:val="0089180B"/>
    <w:rsid w:val="00896AB5"/>
    <w:rsid w:val="00896C3E"/>
    <w:rsid w:val="008A02EA"/>
    <w:rsid w:val="008B2A08"/>
    <w:rsid w:val="008B56E8"/>
    <w:rsid w:val="008C7FD4"/>
    <w:rsid w:val="008D3AC1"/>
    <w:rsid w:val="008D6F80"/>
    <w:rsid w:val="00910997"/>
    <w:rsid w:val="00911953"/>
    <w:rsid w:val="009260A8"/>
    <w:rsid w:val="00926D5E"/>
    <w:rsid w:val="00932A32"/>
    <w:rsid w:val="00933190"/>
    <w:rsid w:val="0095095F"/>
    <w:rsid w:val="00954387"/>
    <w:rsid w:val="00955D45"/>
    <w:rsid w:val="009816EB"/>
    <w:rsid w:val="009818CE"/>
    <w:rsid w:val="00984BF1"/>
    <w:rsid w:val="00990FA9"/>
    <w:rsid w:val="009A2990"/>
    <w:rsid w:val="009C12B8"/>
    <w:rsid w:val="009C31AB"/>
    <w:rsid w:val="009C3B8B"/>
    <w:rsid w:val="009D4044"/>
    <w:rsid w:val="009D6691"/>
    <w:rsid w:val="009E755D"/>
    <w:rsid w:val="00A170C5"/>
    <w:rsid w:val="00A217A0"/>
    <w:rsid w:val="00A37BFE"/>
    <w:rsid w:val="00A42E0D"/>
    <w:rsid w:val="00A56646"/>
    <w:rsid w:val="00A57FCF"/>
    <w:rsid w:val="00A63591"/>
    <w:rsid w:val="00A647AE"/>
    <w:rsid w:val="00A72177"/>
    <w:rsid w:val="00A73699"/>
    <w:rsid w:val="00A863D4"/>
    <w:rsid w:val="00A931C1"/>
    <w:rsid w:val="00A94A67"/>
    <w:rsid w:val="00AB2A06"/>
    <w:rsid w:val="00AB5719"/>
    <w:rsid w:val="00AD4DEA"/>
    <w:rsid w:val="00AE2062"/>
    <w:rsid w:val="00AE24ED"/>
    <w:rsid w:val="00AE388B"/>
    <w:rsid w:val="00AE499B"/>
    <w:rsid w:val="00AE67A1"/>
    <w:rsid w:val="00B008EB"/>
    <w:rsid w:val="00B00C84"/>
    <w:rsid w:val="00B05791"/>
    <w:rsid w:val="00B1575C"/>
    <w:rsid w:val="00B20325"/>
    <w:rsid w:val="00B27019"/>
    <w:rsid w:val="00B27316"/>
    <w:rsid w:val="00B31E1F"/>
    <w:rsid w:val="00B360F6"/>
    <w:rsid w:val="00B52380"/>
    <w:rsid w:val="00B533D0"/>
    <w:rsid w:val="00B539D5"/>
    <w:rsid w:val="00B55DB7"/>
    <w:rsid w:val="00B615F3"/>
    <w:rsid w:val="00B7599C"/>
    <w:rsid w:val="00B83C96"/>
    <w:rsid w:val="00B84186"/>
    <w:rsid w:val="00BA078F"/>
    <w:rsid w:val="00BB51D6"/>
    <w:rsid w:val="00BC23D2"/>
    <w:rsid w:val="00BC271A"/>
    <w:rsid w:val="00BC2F7F"/>
    <w:rsid w:val="00BD2E1A"/>
    <w:rsid w:val="00BE6DA3"/>
    <w:rsid w:val="00BF495F"/>
    <w:rsid w:val="00BF4B69"/>
    <w:rsid w:val="00BF6837"/>
    <w:rsid w:val="00C100F5"/>
    <w:rsid w:val="00C11AB3"/>
    <w:rsid w:val="00C12BCC"/>
    <w:rsid w:val="00C13308"/>
    <w:rsid w:val="00C30205"/>
    <w:rsid w:val="00C43DBA"/>
    <w:rsid w:val="00C45208"/>
    <w:rsid w:val="00C60438"/>
    <w:rsid w:val="00C637AB"/>
    <w:rsid w:val="00C66840"/>
    <w:rsid w:val="00C70315"/>
    <w:rsid w:val="00C83997"/>
    <w:rsid w:val="00C90931"/>
    <w:rsid w:val="00C93514"/>
    <w:rsid w:val="00C97F90"/>
    <w:rsid w:val="00CA37C8"/>
    <w:rsid w:val="00CC1E0C"/>
    <w:rsid w:val="00CC2858"/>
    <w:rsid w:val="00CC4B0E"/>
    <w:rsid w:val="00CC57CB"/>
    <w:rsid w:val="00CD18BF"/>
    <w:rsid w:val="00CD566B"/>
    <w:rsid w:val="00CE697C"/>
    <w:rsid w:val="00CE6A48"/>
    <w:rsid w:val="00CF470A"/>
    <w:rsid w:val="00D008FE"/>
    <w:rsid w:val="00D06B06"/>
    <w:rsid w:val="00D2272E"/>
    <w:rsid w:val="00D30757"/>
    <w:rsid w:val="00D37F7C"/>
    <w:rsid w:val="00D57709"/>
    <w:rsid w:val="00D8638C"/>
    <w:rsid w:val="00D90A95"/>
    <w:rsid w:val="00DB2D05"/>
    <w:rsid w:val="00DC146D"/>
    <w:rsid w:val="00DC1ABF"/>
    <w:rsid w:val="00DD16C6"/>
    <w:rsid w:val="00DD39E2"/>
    <w:rsid w:val="00DF7ADC"/>
    <w:rsid w:val="00E40DB7"/>
    <w:rsid w:val="00E4578E"/>
    <w:rsid w:val="00E511D0"/>
    <w:rsid w:val="00E549BE"/>
    <w:rsid w:val="00E5543B"/>
    <w:rsid w:val="00E62483"/>
    <w:rsid w:val="00E83E71"/>
    <w:rsid w:val="00EA7745"/>
    <w:rsid w:val="00EB0C82"/>
    <w:rsid w:val="00EB332B"/>
    <w:rsid w:val="00EC5325"/>
    <w:rsid w:val="00EC729C"/>
    <w:rsid w:val="00ED1C76"/>
    <w:rsid w:val="00ED70FD"/>
    <w:rsid w:val="00EE1F0C"/>
    <w:rsid w:val="00EE2530"/>
    <w:rsid w:val="00EE35C5"/>
    <w:rsid w:val="00EE4203"/>
    <w:rsid w:val="00EE50C8"/>
    <w:rsid w:val="00EE77FC"/>
    <w:rsid w:val="00F04E0F"/>
    <w:rsid w:val="00F151EC"/>
    <w:rsid w:val="00F2259C"/>
    <w:rsid w:val="00F328B5"/>
    <w:rsid w:val="00F36153"/>
    <w:rsid w:val="00F41D79"/>
    <w:rsid w:val="00F41E71"/>
    <w:rsid w:val="00F52587"/>
    <w:rsid w:val="00F622F6"/>
    <w:rsid w:val="00F62404"/>
    <w:rsid w:val="00F86FBC"/>
    <w:rsid w:val="00F97A8D"/>
    <w:rsid w:val="00FA051F"/>
    <w:rsid w:val="00FA1F61"/>
    <w:rsid w:val="00FA26AE"/>
    <w:rsid w:val="00FA4019"/>
    <w:rsid w:val="00FA48C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51F"/>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table" w:customStyle="1" w:styleId="TableGrid1">
    <w:name w:val="Table Grid1"/>
    <w:basedOn w:val="TableNormal"/>
    <w:next w:val="TableGrid"/>
    <w:uiPriority w:val="39"/>
    <w:rsid w:val="00910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centred"/>
    <w:link w:val="TableheadingChar"/>
    <w:qFormat/>
    <w:rsid w:val="00910997"/>
    <w:pPr>
      <w:keepLines/>
      <w:snapToGrid w:val="0"/>
    </w:pPr>
    <w:rPr>
      <w:b/>
      <w:bCs/>
    </w:rPr>
  </w:style>
  <w:style w:type="character" w:customStyle="1" w:styleId="Table-Body-centredChar">
    <w:name w:val="Table - Body - centred Char"/>
    <w:basedOn w:val="DefaultParagraphFont"/>
    <w:link w:val="Table-Body-centred"/>
    <w:rsid w:val="00910997"/>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910997"/>
    <w:rPr>
      <w:rFonts w:ascii="Arial" w:eastAsiaTheme="minorEastAsia" w:hAnsi="Arial" w:cs="Arial"/>
      <w:b/>
      <w:bCs/>
      <w:color w:val="4D4D4C"/>
      <w:sz w:val="18"/>
      <w:szCs w:val="18"/>
      <w:lang w:eastAsia="ja-JP"/>
    </w:r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after="0"/>
    </w:pPr>
    <w:rPr>
      <w:rFonts w:eastAsiaTheme="minorHAnsi" w:cstheme="minorBidi"/>
      <w:color w:val="auto"/>
      <w:lang w:eastAsia="en-US"/>
    </w:rPr>
  </w:style>
  <w:style w:type="character" w:customStyle="1" w:styleId="CommentTextChar">
    <w:name w:val="Comment Text Char"/>
    <w:basedOn w:val="DefaultParagraphFont"/>
    <w:link w:val="CommentText"/>
    <w:uiPriority w:val="99"/>
    <w:rsid w:val="003F551F"/>
    <w:rPr>
      <w:rFonts w:ascii="Arial" w:hAnsi="Arial"/>
      <w:sz w:val="20"/>
      <w:szCs w:val="20"/>
    </w:rPr>
  </w:style>
  <w:style w:type="paragraph" w:styleId="BodyText">
    <w:name w:val="Body Text"/>
    <w:basedOn w:val="Normal"/>
    <w:link w:val="BodyTextChar"/>
    <w:uiPriority w:val="99"/>
    <w:rsid w:val="00A863D4"/>
    <w:pPr>
      <w:widowControl w:val="0"/>
      <w:overflowPunct w:val="0"/>
      <w:autoSpaceDE w:val="0"/>
      <w:autoSpaceDN w:val="0"/>
      <w:adjustRightInd w:val="0"/>
      <w:spacing w:after="120" w:line="264" w:lineRule="auto"/>
    </w:pPr>
    <w:rPr>
      <w:rFonts w:ascii="Calibri" w:hAnsi="Calibri" w:cs="Calibri"/>
      <w:color w:val="000000"/>
      <w:kern w:val="28"/>
    </w:rPr>
  </w:style>
  <w:style w:type="character" w:customStyle="1" w:styleId="BodyTextChar">
    <w:name w:val="Body Text Char"/>
    <w:basedOn w:val="DefaultParagraphFont"/>
    <w:link w:val="BodyText"/>
    <w:uiPriority w:val="99"/>
    <w:rsid w:val="00A863D4"/>
    <w:rPr>
      <w:rFonts w:ascii="Calibri" w:eastAsia="Times New Roman" w:hAnsi="Calibri" w:cs="Calibri"/>
      <w:color w:val="000000"/>
      <w:kern w:val="28"/>
      <w:sz w:val="20"/>
      <w:szCs w:val="20"/>
      <w:lang w:eastAsia="en-GB"/>
    </w:rPr>
  </w:style>
  <w:style w:type="paragraph" w:styleId="BodyText2">
    <w:name w:val="Body Text 2"/>
    <w:basedOn w:val="Normal"/>
    <w:link w:val="BodyText2Char"/>
    <w:uiPriority w:val="99"/>
    <w:semiHidden/>
    <w:unhideWhenUsed/>
    <w:rsid w:val="00A863D4"/>
    <w:pPr>
      <w:widowControl w:val="0"/>
      <w:overflowPunct w:val="0"/>
      <w:autoSpaceDE w:val="0"/>
      <w:autoSpaceDN w:val="0"/>
      <w:adjustRightInd w:val="0"/>
      <w:spacing w:after="120" w:line="480" w:lineRule="auto"/>
    </w:pPr>
    <w:rPr>
      <w:rFonts w:ascii="Calibri" w:hAnsi="Calibri" w:cs="Calibri"/>
      <w:color w:val="000000"/>
      <w:kern w:val="28"/>
    </w:rPr>
  </w:style>
  <w:style w:type="character" w:customStyle="1" w:styleId="BodyText2Char">
    <w:name w:val="Body Text 2 Char"/>
    <w:basedOn w:val="DefaultParagraphFont"/>
    <w:link w:val="BodyText2"/>
    <w:uiPriority w:val="99"/>
    <w:semiHidden/>
    <w:rsid w:val="00A863D4"/>
    <w:rPr>
      <w:rFonts w:ascii="Calibri" w:eastAsia="Times New Roman" w:hAnsi="Calibri" w:cs="Calibri"/>
      <w:color w:val="000000"/>
      <w:kern w:val="28"/>
      <w:sz w:val="20"/>
      <w:szCs w:val="20"/>
      <w:lang w:eastAsia="en-GB"/>
    </w:rPr>
  </w:style>
  <w:style w:type="paragraph" w:styleId="NoSpacing">
    <w:name w:val="No Spacing"/>
    <w:uiPriority w:val="1"/>
    <w:qFormat/>
    <w:rsid w:val="00A170C5"/>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0A4A3F"/>
    <w:pPr>
      <w:spacing w:after="160"/>
    </w:pPr>
    <w:rPr>
      <w:rFonts w:eastAsia="Times New Roman" w:cs="Arial"/>
      <w:b/>
      <w:bCs/>
      <w:color w:val="5F5F5F"/>
      <w:lang w:eastAsia="en-GB"/>
    </w:rPr>
  </w:style>
  <w:style w:type="character" w:customStyle="1" w:styleId="CommentSubjectChar">
    <w:name w:val="Comment Subject Char"/>
    <w:basedOn w:val="CommentTextChar"/>
    <w:link w:val="CommentSubject"/>
    <w:uiPriority w:val="99"/>
    <w:semiHidden/>
    <w:rsid w:val="000A4A3F"/>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3623BE04-2B58-4562-B691-7E630893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5</Pages>
  <Words>1179</Words>
  <Characters>6310</Characters>
  <Application>Microsoft Office Word</Application>
  <DocSecurity>8</DocSecurity>
  <Lines>177</Lines>
  <Paragraphs>95</Paragraphs>
  <ScaleCrop>false</ScaleCrop>
  <HeadingPairs>
    <vt:vector size="2" baseType="variant">
      <vt:variant>
        <vt:lpstr>Title</vt:lpstr>
      </vt:variant>
      <vt:variant>
        <vt:i4>1</vt:i4>
      </vt:variant>
    </vt:vector>
  </HeadingPairs>
  <TitlesOfParts>
    <vt:vector size="1" baseType="lpstr">
      <vt:lpstr>Protocol 205: Non-target disease protocol</vt:lpstr>
    </vt:vector>
  </TitlesOfParts>
  <Company>AHDB</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205: Non-target disease protocol</dc:title>
  <dc:subject/>
  <dc:creator>Louise Alford</dc:creator>
  <cp:keywords/>
  <dc:description/>
  <cp:lastModifiedBy>Will Browne</cp:lastModifiedBy>
  <cp:revision>40</cp:revision>
  <cp:lastPrinted>2023-07-12T13:55:00Z</cp:lastPrinted>
  <dcterms:created xsi:type="dcterms:W3CDTF">2026-02-12T13:45:00Z</dcterms:created>
  <dcterms:modified xsi:type="dcterms:W3CDTF">2026-03-30T08:59:00Z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